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Arial" w:cs="Arial" w:eastAsia="Arial" w:hAnsi="Arial"/>
          <w:b/>
          <w:bCs/>
          <w:color w:val="FFFFFF"/>
          <w:sz w:val="18"/>
          <w:szCs w:val="18"/>
          <w:highlight w:val="none"/>
        </w:rPr>
        <w:t xml:space="preserve">NOTA DE PRENSA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shd w:fill="1A3A5C" w:val="clear"/>
            <w:tcMar>
              <w:top w:type="dxa" w:w="200"/>
              <w:left w:type="dxa" w:w="300"/>
              <w:bottom w:type="dxa" w:w="200"/>
              <w:right w:type="dxa" w:w="300"/>
            </w:tcMar>
          </w:tcPr>
          <w:p>
            <w:r>
              <w:rPr>
                <w:rFonts w:ascii="Arial" w:cs="Arial" w:eastAsia="Arial" w:hAnsi="Arial"/>
                <w:b/>
                <w:bCs/>
                <w:caps/>
                <w:color w:val="AABBCC"/>
                <w:sz w:val="16"/>
                <w:szCs w:val="16"/>
              </w:rPr>
              <w:t xml:space="preserve">NOTA DE PRENSA</w:t>
            </w:r>
          </w:p>
          <w:p>
            <w:pPr>
              <w:spacing w:before="60" w:after="0"/>
            </w:pPr>
            <w:r>
              <w:rPr>
                <w:rFonts w:ascii="Arial" w:cs="Arial" w:eastAsia="Arial" w:hAnsi="Arial"/>
                <w:b/>
                <w:bCs/>
                <w:color w:val="FFFFFF"/>
                <w:sz w:val="36"/>
                <w:szCs w:val="36"/>
              </w:rPr>
              <w:t xml:space="preserve">ARQUITECTURA DE LA PRUEBA PERICIAL</w:t>
            </w:r>
          </w:p>
          <w:p>
            <w:pPr>
              <w:spacing w:before="80" w:after="160"/>
            </w:pPr>
            <w:r>
              <w:rPr>
                <w:rFonts w:ascii="Arial" w:cs="Arial" w:eastAsia="Arial" w:hAnsi="Arial"/>
                <w:i/>
                <w:iCs/>
                <w:color w:val="C8D8E8"/>
                <w:sz w:val="22"/>
                <w:szCs w:val="22"/>
              </w:rPr>
              <w:t xml:space="preserve">Se publica la edición profesional 2026 del manual de referencia
para peritos judiciales en lengua española</w:t>
            </w:r>
          </w:p>
        </w:tc>
      </w:tr>
    </w:tbl>
    <w:p>
      <w:pPr>
        <w:spacing w:after="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7226"/>
      </w:tblGrid>
      <w:tr>
        <w:tc>
          <w:tcPr>
            <w:shd w:fill="E8EEF4" w:val="clear"/>
            <w:tcMar>
              <w:top w:type="dxa" w:w="80"/>
              <w:left w:type="dxa" w:w="160"/>
              <w:bottom w:type="dxa" w:w="80"/>
              <w:right w:type="dxa" w:w="160"/>
            </w:tcMar>
          </w:tcPr>
          <w:p>
            <w:r>
              <w:rPr>
                <w:rFonts w:ascii="Arial" w:cs="Arial" w:eastAsia="Arial" w:hAnsi="Arial"/>
                <w:b/>
                <w:bCs/>
                <w:color w:val="1A3A5C"/>
                <w:sz w:val="19"/>
                <w:szCs w:val="19"/>
              </w:rPr>
              <w:t xml:space="preserve">Fecha</w:t>
            </w:r>
          </w:p>
        </w:tc>
        <w:tc>
          <w:tcPr>
            <w:tcMar>
              <w:top w:type="dxa" w:w="80"/>
              <w:left w:type="dxa" w:w="160"/>
              <w:bottom w:type="dxa" w:w="80"/>
              <w:right w:type="dxa" w:w="160"/>
            </w:tcMar>
          </w:tcPr>
          <w:p>
            <w:r>
              <w:rPr>
                <w:rFonts w:ascii="Arial" w:cs="Arial" w:eastAsia="Arial" w:hAnsi="Arial"/>
                <w:sz w:val="19"/>
                <w:szCs w:val="19"/>
              </w:rPr>
              <w:t xml:space="preserve">2026</w:t>
            </w:r>
          </w:p>
        </w:tc>
      </w:tr>
      <w:tr>
        <w:tc>
          <w:tcPr>
            <w:shd w:fill="E8EEF4" w:val="clear"/>
            <w:tcMar>
              <w:top w:type="dxa" w:w="80"/>
              <w:left w:type="dxa" w:w="160"/>
              <w:bottom w:type="dxa" w:w="80"/>
              <w:right w:type="dxa" w:w="160"/>
            </w:tcMar>
          </w:tcPr>
          <w:p>
            <w:r>
              <w:rPr>
                <w:rFonts w:ascii="Arial" w:cs="Arial" w:eastAsia="Arial" w:hAnsi="Arial"/>
                <w:b/>
                <w:bCs/>
                <w:color w:val="1A3A5C"/>
                <w:sz w:val="19"/>
                <w:szCs w:val="19"/>
              </w:rPr>
              <w:t xml:space="preserve">Autores</w:t>
            </w:r>
          </w:p>
        </w:tc>
        <w:tc>
          <w:tcPr>
            <w:tcMar>
              <w:top w:type="dxa" w:w="80"/>
              <w:left w:type="dxa" w:w="160"/>
              <w:bottom w:type="dxa" w:w="80"/>
              <w:right w:type="dxa" w:w="160"/>
            </w:tcMar>
          </w:tcPr>
          <w:p>
            <w:r>
              <w:rPr>
                <w:rFonts w:ascii="Arial" w:cs="Arial" w:eastAsia="Arial" w:hAnsi="Arial"/>
                <w:sz w:val="19"/>
                <w:szCs w:val="19"/>
              </w:rPr>
              <w:t xml:space="preserve">David Sánchez Grimaldos · María Isabel Giménez Sánchez</w:t>
            </w:r>
          </w:p>
        </w:tc>
      </w:tr>
      <w:tr>
        <w:tc>
          <w:tcPr>
            <w:shd w:fill="E8EEF4" w:val="clear"/>
            <w:tcMar>
              <w:top w:type="dxa" w:w="80"/>
              <w:left w:type="dxa" w:w="160"/>
              <w:bottom w:type="dxa" w:w="80"/>
              <w:right w:type="dxa" w:w="160"/>
            </w:tcMar>
          </w:tcPr>
          <w:p>
            <w:r>
              <w:rPr>
                <w:rFonts w:ascii="Arial" w:cs="Arial" w:eastAsia="Arial" w:hAnsi="Arial"/>
                <w:b/>
                <w:bCs/>
                <w:color w:val="1A3A5C"/>
                <w:sz w:val="19"/>
                <w:szCs w:val="19"/>
              </w:rPr>
              <w:t xml:space="preserve">Editorial</w:t>
            </w:r>
          </w:p>
        </w:tc>
        <w:tc>
          <w:tcPr>
            <w:tcMar>
              <w:top w:type="dxa" w:w="80"/>
              <w:left w:type="dxa" w:w="160"/>
              <w:bottom w:type="dxa" w:w="80"/>
              <w:right w:type="dxa" w:w="160"/>
            </w:tcMar>
          </w:tcPr>
          <w:p>
            <w:r>
              <w:rPr>
                <w:rFonts w:ascii="Arial" w:cs="Arial" w:eastAsia="Arial" w:hAnsi="Arial"/>
                <w:sz w:val="19"/>
                <w:szCs w:val="19"/>
              </w:rPr>
              <w:t xml:space="preserve">Edición profesional ampliada · Impreso en España</w:t>
            </w:r>
          </w:p>
        </w:tc>
      </w:tr>
    </w:tbl>
    <w:p>
      <w:pPr>
        <w:spacing w:after="280"/>
      </w:pPr>
    </w:p>
    <w:p>
      <w:pPr>
        <w:pBdr>
          <w:bottom w:val="single" w:color="1A3A5C" w:sz="12"/>
        </w:pBdr>
        <w:spacing w:after="0" w:before="0"/>
      </w:pPr>
    </w:p>
    <w:p>
      <w:pPr>
        <w:spacing w:after="120"/>
      </w:pPr>
    </w:p>
    <w:p>
      <w:pPr>
        <w:spacing w:before="0" w:after="140"/>
      </w:pPr>
      <w:r>
        <w:rPr>
          <w:rFonts w:ascii="Arial" w:cs="Arial" w:eastAsia="Arial" w:hAnsi="Arial"/>
          <w:b/>
          <w:bCs/>
          <w:color w:val="1A3A5C"/>
          <w:sz w:val="28"/>
          <w:szCs w:val="28"/>
        </w:rPr>
        <w:t xml:space="preserve">Una obra que cubre el espacio metodológico que faltaba</w:t>
      </w:r>
    </w:p>
    <w:p>
      <w:pPr>
        <w:spacing w:before="0" w:after="200"/>
      </w:pPr>
      <w:r>
        <w:rPr>
          <w:rFonts w:ascii="Arial" w:cs="Arial" w:eastAsia="Arial" w:hAnsi="Arial"/>
          <w:sz w:val="22"/>
          <w:szCs w:val="22"/>
        </w:rPr>
        <w:t xml:space="preserve">David Sánchez Grimaldos, perito judicial técnico, y María Isabel Giménez Sánchez, secretaria judicial, publican la edición profesional ampliada de </w:t>
      </w:r>
      <w:r>
        <w:rPr>
          <w:rFonts w:ascii="Arial" w:cs="Arial" w:eastAsia="Arial" w:hAnsi="Arial"/>
          <w:i/>
          <w:iCs/>
          <w:sz w:val="22"/>
          <w:szCs w:val="22"/>
        </w:rPr>
        <w:t xml:space="preserve">Arquitectura de la Prueba Pericial</w:t>
      </w:r>
      <w:r>
        <w:rPr>
          <w:rFonts w:ascii="Arial" w:cs="Arial" w:eastAsia="Arial" w:hAnsi="Arial"/>
          <w:sz w:val="22"/>
          <w:szCs w:val="22"/>
        </w:rPr>
        <w:t xml:space="preserve">: el primer manual en lengua española que aborda de forma sistemática la dimensión metodológica interna del dictamen pericial, desde la formulación de hipótesis hasta la defensa bajo interrogatorio adversarial.</w:t>
      </w:r>
    </w:p>
    <w:p>
      <w:pPr>
        <w:spacing w:before="0" w:after="180"/>
      </w:pPr>
      <w:r>
        <w:rPr>
          <w:rFonts w:ascii="Arial" w:cs="Arial" w:eastAsia="Arial" w:hAnsi="Arial"/>
          <w:sz w:val="22"/>
          <w:szCs w:val="22"/>
        </w:rPr>
        <w:t xml:space="preserve">La literatura jurídica española cuenta con obras consolidadas sobre el régimen procesal de la prueba pericial. Lo que hasta ahora carecía de tratamiento sistemático era la arquitectura interna del dictamen: el conjunto de decisiones metodológicas que determinan si un análisis técnico puede convertirse en prueba sólida ante un tribunal o si, por el contrario, se queda en mera opinión de experto. </w:t>
      </w:r>
      <w:r>
        <w:rPr>
          <w:rFonts w:ascii="Arial" w:cs="Arial" w:eastAsia="Arial" w:hAnsi="Arial"/>
          <w:i/>
          <w:iCs/>
          <w:sz w:val="22"/>
          <w:szCs w:val="22"/>
        </w:rPr>
        <w:t xml:space="preserve">Arquitectura de la Prueba Pericial</w:t>
      </w:r>
      <w:r>
        <w:rPr>
          <w:rFonts w:ascii="Arial" w:cs="Arial" w:eastAsia="Arial" w:hAnsi="Arial"/>
          <w:sz w:val="22"/>
          <w:szCs w:val="22"/>
        </w:rPr>
        <w:t xml:space="preserve"> cubre ese espacio con rigor y con vocación práctica.</w:t>
      </w:r>
    </w:p>
    <w:p>
      <w:pPr>
        <w:spacing w:before="0" w:after="180"/>
      </w:pPr>
      <w:r>
        <w:rPr>
          <w:rFonts w:ascii="Arial" w:cs="Arial" w:eastAsia="Arial" w:hAnsi="Arial"/>
          <w:sz w:val="22"/>
          <w:szCs w:val="22"/>
        </w:rPr>
        <w:t xml:space="preserve">La tesis central de la obra es precisa: la solidez de un dictamen no depende del prestigio del perito, sino de la arquitectura metodológica que permite reconstruir, verificar y defender el análisis ante el tribunal. Esa arquitectura tiene componentes específicos —trazabilidad, gestión de la incertidumbre, control de sesgos, integración estructural de los estándares internacionales— que pueden aprenderse, aplicarse sistemáticamente y mejorar con la práctica deliberada.</w:t>
      </w:r>
    </w:p>
    <w:p>
      <w:pPr>
        <w:spacing w:after="60"/>
      </w:pPr>
    </w:p>
    <w:p>
      <w:pPr>
        <w:pBdr>
          <w:bottom w:val="single" w:color="CCCCCC" w:sz="12"/>
        </w:pBdr>
        <w:spacing w:after="0" w:before="0"/>
      </w:pPr>
    </w:p>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
        <w:gridCol w:w="8826"/>
      </w:tblGrid>
      <w:tr>
        <w:tc>
          <w:tcPr>
            <w:shd w:fill="1A3A5C" w:val="clear"/>
            <w:tcMar>
              <w:top w:type="dxa" w:w="0"/>
              <w:left w:type="dxa" w:w="0"/>
              <w:bottom w:type="dxa" w:w="0"/>
              <w:right w:type="dxa" w:w="0"/>
            </w:tcMar>
          </w:tcPr>
          <w:p/>
        </w:tc>
        <w:tc>
          <w:tcPr>
            <w:shd w:fill="E8EEF4" w:val="clear"/>
            <w:tcMar>
              <w:top w:type="dxa" w:w="200"/>
              <w:left w:type="dxa" w:w="280"/>
              <w:bottom w:type="dxa" w:w="200"/>
              <w:right w:type="dxa" w:w="280"/>
            </w:tcMar>
          </w:tcPr>
          <w:p>
            <w:r>
              <w:rPr>
                <w:rFonts w:ascii="Arial" w:cs="Arial" w:eastAsia="Arial" w:hAnsi="Arial"/>
                <w:b/>
                <w:bCs/>
                <w:i/>
                <w:iCs/>
                <w:color w:val="1A3A5C"/>
                <w:sz w:val="23"/>
                <w:szCs w:val="23"/>
              </w:rPr>
              <w:t xml:space="preserve">«El experto solvente no es quien más sabe, sino quien mejor demuestra, ante el escrutinio adversarial, cómo y por qué ha llegado a sus conclusiones.»</w:t>
            </w:r>
          </w:p>
          <w:p>
            <w:pPr>
              <w:spacing w:before="80"/>
            </w:pPr>
            <w:r>
              <w:rPr>
                <w:rFonts w:ascii="Arial" w:cs="Arial" w:eastAsia="Arial" w:hAnsi="Arial"/>
                <w:color w:val="666666"/>
                <w:sz w:val="19"/>
                <w:szCs w:val="19"/>
              </w:rPr>
              <w:t xml:space="preserve">— Los autores</w:t>
            </w:r>
          </w:p>
        </w:tc>
      </w:tr>
    </w:tbl>
    <w:p>
      <w:pPr>
        <w:spacing w:after="220"/>
      </w:pPr>
    </w:p>
    <w:p>
      <w:pPr>
        <w:pBdr>
          <w:bottom w:val="single" w:color="CCCCCC" w:sz="12"/>
        </w:pBdr>
        <w:spacing w:after="0" w:before="0"/>
      </w:pPr>
    </w:p>
    <w:p>
      <w:pPr>
        <w:spacing w:after="120"/>
      </w:pPr>
    </w:p>
    <w:p>
      <w:pPr>
        <w:spacing w:before="0" w:after="140"/>
      </w:pPr>
      <w:r>
        <w:rPr>
          <w:rFonts w:ascii="Arial" w:cs="Arial" w:eastAsia="Arial" w:hAnsi="Arial"/>
          <w:b/>
          <w:bCs/>
          <w:color w:val="1A3A5C"/>
          <w:sz w:val="26"/>
          <w:szCs w:val="26"/>
        </w:rPr>
        <w:t xml:space="preserve">Dos perspectivas, una sola arquitectura</w:t>
      </w:r>
    </w:p>
    <w:p>
      <w:pPr>
        <w:spacing w:before="0" w:after="180"/>
      </w:pPr>
      <w:r>
        <w:rPr>
          <w:rFonts w:ascii="Arial" w:cs="Arial" w:eastAsia="Arial" w:hAnsi="Arial"/>
          <w:sz w:val="22"/>
          <w:szCs w:val="22"/>
        </w:rPr>
        <w:t xml:space="preserve">La obra nace de la convergencia de dos ópticas complementarias. David Sánchez Grimaldos aporta la perspectiva del perito técnico que ha construido y defendido dictámenes bajo interrogatorio adversarial, ha leído con atención crítica los informes del perito contrario y ha aprendido, en la práctica de sala, qué hace que un análisis resista y qué lo destruye. María Isabel Giménez Sánchez aporta la perspectiva del tribunal: qué espera el juez de un dictamen, qué lo convierte en un instrumento útil para dictar sentencia y qué dimensión deontológica tiene la función pericial cuando se ejerce con plena conciencia de su papel en el sistema de justicia.</w:t>
      </w:r>
    </w:p>
    <w:p>
      <w:pPr>
        <w:spacing w:before="0" w:after="220"/>
      </w:pPr>
      <w:r>
        <w:rPr>
          <w:rFonts w:ascii="Arial" w:cs="Arial" w:eastAsia="Arial" w:hAnsi="Arial"/>
          <w:sz w:val="22"/>
          <w:szCs w:val="22"/>
        </w:rPr>
        <w:t xml:space="preserve">El resultado es una obra que habla simultáneamente desde dentro del dictamen y desde fuera de él, y que ofrece al perito el marco operativo que ninguna de las dos perspectivas aisladas podría proporcionar.</w:t>
      </w:r>
    </w:p>
    <w:p>
      <w:pPr>
        <w:pBdr>
          <w:bottom w:val="single" w:color="CCCCCC" w:sz="12"/>
        </w:pBdr>
        <w:spacing w:after="0" w:before="0"/>
      </w:pPr>
    </w:p>
    <w:p>
      <w:pPr>
        <w:spacing w:after="120"/>
      </w:pPr>
    </w:p>
    <w:p>
      <w:pPr>
        <w:spacing w:before="0" w:after="140"/>
      </w:pPr>
      <w:r>
        <w:rPr>
          <w:rFonts w:ascii="Arial" w:cs="Arial" w:eastAsia="Arial" w:hAnsi="Arial"/>
          <w:b/>
          <w:bCs/>
          <w:color w:val="1A3A5C"/>
          <w:sz w:val="26"/>
          <w:szCs w:val="26"/>
        </w:rPr>
        <w:t xml:space="preserve">Estructura y contenido</w:t>
      </w:r>
    </w:p>
    <w:p>
      <w:pPr>
        <w:spacing w:before="0" w:after="180"/>
      </w:pPr>
      <w:r>
        <w:rPr>
          <w:rFonts w:ascii="Arial" w:cs="Arial" w:eastAsia="Arial" w:hAnsi="Arial"/>
          <w:sz w:val="22"/>
          <w:szCs w:val="22"/>
        </w:rPr>
        <w:t xml:space="preserve">La obra se articula en cuatro partes y diecinueve capítulos, organizados con progresión lógica acumulativa. La primera parte establece los fundamentos conceptuales: la distinción entre opinión técnica y prueba pericial, la función epistemológica del perito como productor de conocimiento de segundo orden, y el marco normativo de la LEC y la LECrim con sus implicaciones operativas. La segunda parte construye el aparato metodológico: el dictamen como modelo de riesgo, la gestión estructurada de la incertidumbre —distinguiendo entre incertidumbre aleatoria y epistémica—, la trazabilidad como propiedad arquitectónica del informe, y la integración estructural de los estándares internacionales más relevantes: IVS, ISO 31000:2018, ISO 21043, ISO/IEC 17020:2012, ISO/IEC 17025:2017 e ISO 37301:2021.</w:t>
      </w:r>
    </w:p>
    <w:p>
      <w:pPr>
        <w:spacing w:before="0" w:after="220"/>
      </w:pPr>
      <w:r>
        <w:rPr>
          <w:rFonts w:ascii="Arial" w:cs="Arial" w:eastAsia="Arial" w:hAnsi="Arial"/>
          <w:sz w:val="22"/>
          <w:szCs w:val="22"/>
        </w:rPr>
        <w:t xml:space="preserve">La tercera parte desciende al nivel operativo de la construcción del dictamen: los nueve bloques estructurales del informe, la formulación y verificación de hipótesis técnicas, la modelización del riesgo, la valoración de activos en contextos litigiosos y la integración de la normativa sectorial. La cuarta parte examina la dimensión adversarial: el interrogatorio cruzado, la deontología y la responsabilidad, la gestión del encargo pericial como proceso completo, y los retos emergentes que plantean la inteligencia artificial —con referencia al Reglamento (UE) 2024/1689— y la internacionalización del litigio arbitral.</w:t>
      </w:r>
    </w:p>
    <w:p>
      <w:pPr>
        <w:pBdr>
          <w:bottom w:val="single" w:color="CCCCCC" w:sz="12"/>
        </w:pBdr>
        <w:spacing w:after="0" w:before="0"/>
      </w:pPr>
    </w:p>
    <w:p>
      <w:pPr>
        <w:spacing w:after="120"/>
      </w:pPr>
    </w:p>
    <w:p>
      <w:pPr>
        <w:spacing w:before="0" w:after="140"/>
      </w:pPr>
      <w:r>
        <w:rPr>
          <w:rFonts w:ascii="Arial" w:cs="Arial" w:eastAsia="Arial" w:hAnsi="Arial"/>
          <w:b/>
          <w:bCs/>
          <w:color w:val="1A3A5C"/>
          <w:sz w:val="26"/>
          <w:szCs w:val="26"/>
        </w:rPr>
        <w:t xml:space="preserve">A quién va dirigida</w:t>
      </w:r>
    </w:p>
    <w:p>
      <w:pPr>
        <w:spacing w:before="0" w:after="220"/>
      </w:pPr>
      <w:r>
        <w:rPr>
          <w:rFonts w:ascii="Arial" w:cs="Arial" w:eastAsia="Arial" w:hAnsi="Arial"/>
          <w:sz w:val="22"/>
          <w:szCs w:val="22"/>
        </w:rPr>
        <w:t xml:space="preserve">La obra está concebida para peritos judiciales de cualquier especialidad —ingeniería, valoración de activos, medicina forense, ciencias de la computación, arquitectura, auditoría— tanto de parte como de designación judicial. También resulta de utilidad inmediata para abogados y letrados que trabajan regularmente con prueba pericial y necesitan comprender qué hace que un dictamen sea procesalmente sólido. La orientación metodológica de la obra la hace igualmente aplicable a peritos que intervienen en arbitrajes nacionales e internacionales, donde las exigencias de rigor sobre el dictamen son, si cabe, más explícitas.</w:t>
      </w:r>
    </w:p>
    <w:p>
      <w:pPr>
        <w:pBdr>
          <w:bottom w:val="single" w:color="1A3A5C" w:sz="12"/>
        </w:pBdr>
        <w:spacing w:after="0" w:before="0"/>
      </w:pPr>
    </w:p>
    <w:p>
      <w:pPr>
        <w:spacing w:after="120"/>
      </w:pPr>
    </w:p>
    <w:p>
      <w:pPr>
        <w:spacing w:before="0" w:after="160"/>
      </w:pPr>
      <w:r>
        <w:rPr>
          <w:rFonts w:ascii="Arial" w:cs="Arial" w:eastAsia="Arial" w:hAnsi="Arial"/>
          <w:b/>
          <w:bCs/>
          <w:caps/>
          <w:color w:val="1A3A5C"/>
          <w:sz w:val="18"/>
          <w:szCs w:val="18"/>
        </w:rPr>
        <w:t xml:space="preserve">FICHA BIBLIOGRÁFICA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c>
          <w:tcPr>
            <w:shd w:fill="E8EEF4" w:val="clear"/>
            <w:tcMar>
              <w:top w:type="dxa" w:w="70"/>
              <w:left w:type="dxa" w:w="140"/>
              <w:bottom w:type="dxa" w:w="70"/>
              <w:right w:type="dxa" w:w="140"/>
            </w:tcMar>
          </w:tcPr>
          <w:p>
            <w:r>
              <w:rPr>
                <w:rFonts w:ascii="Arial" w:cs="Arial" w:eastAsia="Arial" w:hAnsi="Arial"/>
                <w:b/>
                <w:bCs/>
                <w:color w:val="1A3A5C"/>
                <w:sz w:val="19"/>
                <w:szCs w:val="19"/>
              </w:rPr>
              <w:t xml:space="preserve">Título</w:t>
            </w:r>
          </w:p>
        </w:tc>
        <w:tc>
          <w:tcPr>
            <w:tcMar>
              <w:top w:type="dxa" w:w="70"/>
              <w:left w:type="dxa" w:w="140"/>
              <w:bottom w:type="dxa" w:w="70"/>
              <w:right w:type="dxa" w:w="140"/>
            </w:tcMar>
          </w:tcPr>
          <w:p>
            <w:r>
              <w:rPr>
                <w:rFonts w:ascii="Arial" w:cs="Arial" w:eastAsia="Arial" w:hAnsi="Arial"/>
                <w:sz w:val="19"/>
                <w:szCs w:val="19"/>
              </w:rPr>
              <w:t xml:space="preserve">Arquitectura de la Prueba Pericial</w:t>
            </w:r>
          </w:p>
        </w:tc>
      </w:tr>
      <w:tr>
        <w:tc>
          <w:tcPr>
            <w:shd w:fill="E8EEF4" w:val="clear"/>
            <w:tcMar>
              <w:top w:type="dxa" w:w="70"/>
              <w:left w:type="dxa" w:w="140"/>
              <w:bottom w:type="dxa" w:w="70"/>
              <w:right w:type="dxa" w:w="140"/>
            </w:tcMar>
          </w:tcPr>
          <w:p>
            <w:r>
              <w:rPr>
                <w:rFonts w:ascii="Arial" w:cs="Arial" w:eastAsia="Arial" w:hAnsi="Arial"/>
                <w:b/>
                <w:bCs/>
                <w:color w:val="1A3A5C"/>
                <w:sz w:val="19"/>
                <w:szCs w:val="19"/>
              </w:rPr>
              <w:t xml:space="preserve">Subtítulo</w:t>
            </w:r>
          </w:p>
        </w:tc>
        <w:tc>
          <w:tcPr>
            <w:tcMar>
              <w:top w:type="dxa" w:w="70"/>
              <w:left w:type="dxa" w:w="140"/>
              <w:bottom w:type="dxa" w:w="70"/>
              <w:right w:type="dxa" w:w="140"/>
            </w:tcMar>
          </w:tcPr>
          <w:p>
            <w:r>
              <w:rPr>
                <w:rFonts w:ascii="Arial" w:cs="Arial" w:eastAsia="Arial" w:hAnsi="Arial"/>
                <w:sz w:val="19"/>
                <w:szCs w:val="19"/>
              </w:rPr>
              <w:t xml:space="preserve">Fundamentos técnicos, estrategia procesal y construcción estructural del dictamen judicial</w:t>
            </w:r>
          </w:p>
        </w:tc>
      </w:tr>
      <w:tr>
        <w:tc>
          <w:tcPr>
            <w:shd w:fill="E8EEF4" w:val="clear"/>
            <w:tcMar>
              <w:top w:type="dxa" w:w="70"/>
              <w:left w:type="dxa" w:w="140"/>
              <w:bottom w:type="dxa" w:w="70"/>
              <w:right w:type="dxa" w:w="140"/>
            </w:tcMar>
          </w:tcPr>
          <w:p>
            <w:r>
              <w:rPr>
                <w:rFonts w:ascii="Arial" w:cs="Arial" w:eastAsia="Arial" w:hAnsi="Arial"/>
                <w:b/>
                <w:bCs/>
                <w:color w:val="1A3A5C"/>
                <w:sz w:val="19"/>
                <w:szCs w:val="19"/>
              </w:rPr>
              <w:t xml:space="preserve">Autores</w:t>
            </w:r>
          </w:p>
        </w:tc>
        <w:tc>
          <w:tcPr>
            <w:tcMar>
              <w:top w:type="dxa" w:w="70"/>
              <w:left w:type="dxa" w:w="140"/>
              <w:bottom w:type="dxa" w:w="70"/>
              <w:right w:type="dxa" w:w="140"/>
            </w:tcMar>
          </w:tcPr>
          <w:p>
            <w:r>
              <w:rPr>
                <w:rFonts w:ascii="Arial" w:cs="Arial" w:eastAsia="Arial" w:hAnsi="Arial"/>
                <w:sz w:val="19"/>
                <w:szCs w:val="19"/>
              </w:rPr>
              <w:t xml:space="preserve">David Sánchez Grimaldos · María Isabel Giménez Sánchez</w:t>
            </w:r>
          </w:p>
        </w:tc>
      </w:tr>
      <w:tr>
        <w:tc>
          <w:tcPr>
            <w:shd w:fill="E8EEF4" w:val="clear"/>
            <w:tcMar>
              <w:top w:type="dxa" w:w="70"/>
              <w:left w:type="dxa" w:w="140"/>
              <w:bottom w:type="dxa" w:w="70"/>
              <w:right w:type="dxa" w:w="140"/>
            </w:tcMar>
          </w:tcPr>
          <w:p>
            <w:r>
              <w:rPr>
                <w:rFonts w:ascii="Arial" w:cs="Arial" w:eastAsia="Arial" w:hAnsi="Arial"/>
                <w:b/>
                <w:bCs/>
                <w:color w:val="1A3A5C"/>
                <w:sz w:val="19"/>
                <w:szCs w:val="19"/>
              </w:rPr>
              <w:t xml:space="preserve">Edición</w:t>
            </w:r>
          </w:p>
        </w:tc>
        <w:tc>
          <w:tcPr>
            <w:tcMar>
              <w:top w:type="dxa" w:w="70"/>
              <w:left w:type="dxa" w:w="140"/>
              <w:bottom w:type="dxa" w:w="70"/>
              <w:right w:type="dxa" w:w="140"/>
            </w:tcMar>
          </w:tcPr>
          <w:p>
            <w:r>
              <w:rPr>
                <w:rFonts w:ascii="Arial" w:cs="Arial" w:eastAsia="Arial" w:hAnsi="Arial"/>
                <w:sz w:val="19"/>
                <w:szCs w:val="19"/>
              </w:rPr>
              <w:t xml:space="preserve">Edición profesional ampliada, 2026</w:t>
            </w:r>
          </w:p>
        </w:tc>
      </w:tr>
      <w:tr>
        <w:tc>
          <w:tcPr>
            <w:shd w:fill="E8EEF4" w:val="clear"/>
            <w:tcMar>
              <w:top w:type="dxa" w:w="70"/>
              <w:left w:type="dxa" w:w="140"/>
              <w:bottom w:type="dxa" w:w="70"/>
              <w:right w:type="dxa" w:w="140"/>
            </w:tcMar>
          </w:tcPr>
          <w:p>
            <w:r>
              <w:rPr>
                <w:rFonts w:ascii="Arial" w:cs="Arial" w:eastAsia="Arial" w:hAnsi="Arial"/>
                <w:b/>
                <w:bCs/>
                <w:color w:val="1A3A5C"/>
                <w:sz w:val="19"/>
                <w:szCs w:val="19"/>
              </w:rPr>
              <w:t xml:space="preserve">Primera edición</w:t>
            </w:r>
          </w:p>
        </w:tc>
        <w:tc>
          <w:tcPr>
            <w:tcMar>
              <w:top w:type="dxa" w:w="70"/>
              <w:left w:type="dxa" w:w="140"/>
              <w:bottom w:type="dxa" w:w="70"/>
              <w:right w:type="dxa" w:w="140"/>
            </w:tcMar>
          </w:tcPr>
          <w:p>
            <w:r>
              <w:rPr>
                <w:rFonts w:ascii="Arial" w:cs="Arial" w:eastAsia="Arial" w:hAnsi="Arial"/>
                <w:sz w:val="19"/>
                <w:szCs w:val="19"/>
              </w:rPr>
              <w:t xml:space="preserve">2025</w:t>
            </w:r>
          </w:p>
        </w:tc>
      </w:tr>
      <w:tr>
        <w:tc>
          <w:tcPr>
            <w:shd w:fill="E8EEF4" w:val="clear"/>
            <w:tcMar>
              <w:top w:type="dxa" w:w="70"/>
              <w:left w:type="dxa" w:w="140"/>
              <w:bottom w:type="dxa" w:w="70"/>
              <w:right w:type="dxa" w:w="140"/>
            </w:tcMar>
          </w:tcPr>
          <w:p>
            <w:r>
              <w:rPr>
                <w:rFonts w:ascii="Arial" w:cs="Arial" w:eastAsia="Arial" w:hAnsi="Arial"/>
                <w:b/>
                <w:bCs/>
                <w:color w:val="1A3A5C"/>
                <w:sz w:val="19"/>
                <w:szCs w:val="19"/>
              </w:rPr>
              <w:t xml:space="preserve">Ámbito</w:t>
            </w:r>
          </w:p>
        </w:tc>
        <w:tc>
          <w:tcPr>
            <w:tcMar>
              <w:top w:type="dxa" w:w="70"/>
              <w:left w:type="dxa" w:w="140"/>
              <w:bottom w:type="dxa" w:w="70"/>
              <w:right w:type="dxa" w:w="140"/>
            </w:tcMar>
          </w:tcPr>
          <w:p>
            <w:r>
              <w:rPr>
                <w:rFonts w:ascii="Arial" w:cs="Arial" w:eastAsia="Arial" w:hAnsi="Arial"/>
                <w:sz w:val="19"/>
                <w:szCs w:val="19"/>
              </w:rPr>
              <w:t xml:space="preserve">España / Internacional</w:t>
            </w:r>
          </w:p>
        </w:tc>
      </w:tr>
      <w:tr>
        <w:tc>
          <w:tcPr>
            <w:shd w:fill="E8EEF4" w:val="clear"/>
            <w:tcMar>
              <w:top w:type="dxa" w:w="70"/>
              <w:left w:type="dxa" w:w="140"/>
              <w:bottom w:type="dxa" w:w="70"/>
              <w:right w:type="dxa" w:w="140"/>
            </w:tcMar>
          </w:tcPr>
          <w:p>
            <w:r>
              <w:rPr>
                <w:rFonts w:ascii="Arial" w:cs="Arial" w:eastAsia="Arial" w:hAnsi="Arial"/>
                <w:b/>
                <w:bCs/>
                <w:color w:val="1A3A5C"/>
                <w:sz w:val="19"/>
                <w:szCs w:val="19"/>
              </w:rPr>
              <w:t xml:space="preserve">ISBN</w:t>
            </w:r>
          </w:p>
        </w:tc>
        <w:tc>
          <w:tcPr>
            <w:tcMar>
              <w:top w:type="dxa" w:w="70"/>
              <w:left w:type="dxa" w:w="140"/>
              <w:bottom w:type="dxa" w:w="70"/>
              <w:right w:type="dxa" w:w="140"/>
            </w:tcMar>
          </w:tcPr>
          <w:p>
            <w:r>
              <w:rPr>
                <w:rFonts w:ascii="Arial" w:cs="Arial" w:eastAsia="Arial" w:hAnsi="Arial"/>
                <w:sz w:val="19"/>
                <w:szCs w:val="19"/>
              </w:rPr>
              <w:t xml:space="preserve">Pendiente de asignación</w:t>
            </w:r>
          </w:p>
        </w:tc>
      </w:tr>
    </w:tbl>
    <w:p>
      <w:pPr>
        <w:spacing w:after="300"/>
      </w:pPr>
    </w:p>
    <w:p>
      <w:pPr>
        <w:jc w:val="center"/>
      </w:pPr>
      <w:r>
        <w:rPr>
          <w:rFonts w:ascii="Arial" w:cs="Arial" w:eastAsia="Arial" w:hAnsi="Arial"/>
          <w:i/>
          <w:iCs/>
          <w:color w:val="888888"/>
          <w:sz w:val="18"/>
          <w:szCs w:val="18"/>
        </w:rPr>
        <w:t xml:space="preserve">Para solicitudes de información, ejemplares de reseña o entrevistas, contacte con los autores.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2026-02-26T08:22:49.019Z</dcterms:created>
  <dcterms:modified xsi:type="dcterms:W3CDTF">2026-02-26T08:22:49.020Z</dcterms:modified>
</cp:coreProperties>
</file>

<file path=docProps/custom.xml><?xml version="1.0" encoding="utf-8"?>
<Properties xmlns="http://schemas.openxmlformats.org/officeDocument/2006/custom-properties" xmlns:vt="http://schemas.openxmlformats.org/officeDocument/2006/docPropsVTypes"/>
</file>