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32BE6" w14:textId="589BF114" w:rsidR="00616ED7" w:rsidRDefault="00616ED7" w:rsidP="00616ED7">
      <w:pPr>
        <w:spacing w:beforeAutospacing="1" w:after="0" w:afterAutospacing="1" w:line="240" w:lineRule="auto"/>
        <w:textAlignment w:val="baseline"/>
        <w:outlineLvl w:val="0"/>
        <w:rPr>
          <w:rFonts w:ascii="Segoe UI" w:eastAsia="Times New Roman" w:hAnsi="Segoe UI" w:cs="Segoe UI"/>
          <w:b/>
          <w:bCs/>
          <w:kern w:val="36"/>
          <w:sz w:val="48"/>
          <w:szCs w:val="48"/>
          <w:bdr w:val="none" w:sz="0" w:space="0" w:color="auto" w:frame="1"/>
          <w:lang w:eastAsia="es-ES"/>
          <w14:ligatures w14:val="none"/>
        </w:rPr>
      </w:pPr>
      <w:r w:rsidRPr="00616ED7">
        <w:rPr>
          <w:rFonts w:ascii="Segoe UI" w:eastAsia="Times New Roman" w:hAnsi="Segoe UI" w:cs="Segoe UI"/>
          <w:b/>
          <w:bCs/>
          <w:kern w:val="36"/>
          <w:sz w:val="48"/>
          <w:szCs w:val="48"/>
          <w:bdr w:val="none" w:sz="0" w:space="0" w:color="auto" w:frame="1"/>
          <w:lang w:eastAsia="es-ES"/>
          <w14:ligatures w14:val="none"/>
        </w:rPr>
        <w:t>¿</w:t>
      </w:r>
      <w:r w:rsidRPr="00616ED7">
        <w:rPr>
          <w:rFonts w:ascii="Segoe UI" w:eastAsia="Times New Roman" w:hAnsi="Segoe UI" w:cs="Segoe UI"/>
          <w:b/>
          <w:bCs/>
          <w:kern w:val="36"/>
          <w:sz w:val="48"/>
          <w:szCs w:val="48"/>
          <w:bdr w:val="none" w:sz="0" w:space="0" w:color="auto" w:frame="1"/>
          <w:lang w:eastAsia="es-ES"/>
          <w14:ligatures w14:val="none"/>
        </w:rPr>
        <w:t>Está</w:t>
      </w:r>
      <w:r w:rsidRPr="00616ED7">
        <w:rPr>
          <w:rFonts w:ascii="Segoe UI" w:eastAsia="Times New Roman" w:hAnsi="Segoe UI" w:cs="Segoe UI"/>
          <w:b/>
          <w:bCs/>
          <w:kern w:val="36"/>
          <w:sz w:val="48"/>
          <w:szCs w:val="48"/>
          <w:bdr w:val="none" w:sz="0" w:space="0" w:color="auto" w:frame="1"/>
          <w:lang w:eastAsia="es-ES"/>
          <w14:ligatures w14:val="none"/>
        </w:rPr>
        <w:t xml:space="preserve"> sujeto a facturar con IVA un profesional autónomo o administrador único a su propia empresa?</w:t>
      </w:r>
    </w:p>
    <w:p w14:paraId="75010B50" w14:textId="235E872E" w:rsidR="005A6646" w:rsidRDefault="005A6646" w:rsidP="005A6646">
      <w:pPr>
        <w:pStyle w:val="ember-view"/>
        <w:spacing w:before="0" w:beforeAutospacing="0" w:after="0" w:afterAutospacing="0"/>
        <w:textAlignment w:val="baseline"/>
        <w:rPr>
          <w:rFonts w:ascii="Segoe UI" w:hAnsi="Segoe UI" w:cs="Segoe UI"/>
        </w:rPr>
      </w:pPr>
      <w:r>
        <w:rPr>
          <w:rFonts w:ascii="Segoe UI" w:hAnsi="Segoe UI" w:cs="Segoe UI"/>
        </w:rPr>
        <w:t>Como Perito Judicial en derecho empresarial y Perito administrador concursal experto independiente, se me plantean todos los días situaciones complejas y dudas razonables en las que es preciso que asesores, economistas y abogados, cuenten con un informe pericial para poder aclarar a sus clientes, o estamentos oficiales con una opinión seria rigurosa y viable si las circunstancias que abordan cada día son correctas o no lo son.</w:t>
      </w:r>
      <w:r>
        <w:rPr>
          <w:rStyle w:val="white-space-pre"/>
          <w:rFonts w:ascii="Segoe UI" w:eastAsiaTheme="majorEastAsia" w:hAnsi="Segoe UI" w:cs="Segoe UI"/>
          <w:bdr w:val="none" w:sz="0" w:space="0" w:color="auto" w:frame="1"/>
        </w:rPr>
        <w:t xml:space="preserve"> </w:t>
      </w:r>
    </w:p>
    <w:p w14:paraId="441BF320" w14:textId="77777777" w:rsidR="005A6646" w:rsidRDefault="005A6646" w:rsidP="005A6646">
      <w:pPr>
        <w:pStyle w:val="ember-view"/>
        <w:spacing w:before="0" w:beforeAutospacing="0" w:after="0" w:afterAutospacing="0"/>
        <w:textAlignment w:val="baseline"/>
        <w:rPr>
          <w:rFonts w:ascii="Segoe UI" w:hAnsi="Segoe UI" w:cs="Segoe UI"/>
        </w:rPr>
      </w:pPr>
      <w:r>
        <w:rPr>
          <w:rFonts w:ascii="Segoe UI" w:hAnsi="Segoe UI" w:cs="Segoe UI"/>
        </w:rPr>
        <w:t xml:space="preserve">Esta semana se me plantea el caso de un profesional </w:t>
      </w:r>
      <w:proofErr w:type="spellStart"/>
      <w:r>
        <w:rPr>
          <w:rFonts w:ascii="Segoe UI" w:hAnsi="Segoe UI" w:cs="Segoe UI"/>
        </w:rPr>
        <w:t>autonomo</w:t>
      </w:r>
      <w:proofErr w:type="spellEnd"/>
      <w:r>
        <w:rPr>
          <w:rFonts w:ascii="Segoe UI" w:hAnsi="Segoe UI" w:cs="Segoe UI"/>
        </w:rPr>
        <w:t xml:space="preserve"> propietario de su propia empresa que realiza facturas a su empresa solo aplicando la retención correspondiente al IRPF con la correspondiente retención del 15% y no aplica IVA. Sus asesores han consultado y dicen que la ley no figura tal excepción. Y por tanto debería declarar en las facturas el IVA correspondiente.</w:t>
      </w:r>
      <w:r>
        <w:rPr>
          <w:rStyle w:val="white-space-pre"/>
          <w:rFonts w:ascii="Segoe UI" w:eastAsiaTheme="majorEastAsia" w:hAnsi="Segoe UI" w:cs="Segoe UI"/>
          <w:bdr w:val="none" w:sz="0" w:space="0" w:color="auto" w:frame="1"/>
        </w:rPr>
        <w:t xml:space="preserve"> </w:t>
      </w:r>
    </w:p>
    <w:p w14:paraId="7F4ADE39" w14:textId="77777777" w:rsidR="005A6646" w:rsidRDefault="005A6646" w:rsidP="005A6646">
      <w:pPr>
        <w:pStyle w:val="ember-view"/>
        <w:spacing w:before="0" w:beforeAutospacing="0" w:after="0" w:afterAutospacing="0"/>
        <w:textAlignment w:val="baseline"/>
        <w:rPr>
          <w:rFonts w:ascii="Segoe UI" w:hAnsi="Segoe UI" w:cs="Segoe UI"/>
        </w:rPr>
      </w:pPr>
      <w:r>
        <w:rPr>
          <w:rFonts w:ascii="Segoe UI" w:hAnsi="Segoe UI" w:cs="Segoe UI"/>
        </w:rPr>
        <w:t>El Art. 5 de la ley 37/1992 por la que se regula la ley del IVA en el punto 2º deja clara la exención cuando el profesional actué en la entrega de bienes o servicios con los medios y activos de su empresa y su relación con la misma sea de absoluta dependencia laboral, también la dirección general de tributos y la jurisprudencia es clara en este asunto. Otra cosa es cuando el profesional actué con sus propios medios y no con los de su empresa, entonces si tiene que facturar a su empresa con el IVA correspondiente.</w:t>
      </w:r>
      <w:r>
        <w:rPr>
          <w:rStyle w:val="white-space-pre"/>
          <w:rFonts w:ascii="Segoe UI" w:eastAsiaTheme="majorEastAsia" w:hAnsi="Segoe UI" w:cs="Segoe UI"/>
          <w:bdr w:val="none" w:sz="0" w:space="0" w:color="auto" w:frame="1"/>
        </w:rPr>
        <w:t xml:space="preserve"> </w:t>
      </w:r>
    </w:p>
    <w:p w14:paraId="763C3B79" w14:textId="77777777" w:rsidR="005A6646" w:rsidRDefault="005A6646" w:rsidP="005A6646">
      <w:pPr>
        <w:pStyle w:val="ember-view"/>
        <w:spacing w:before="0" w:beforeAutospacing="0" w:after="480" w:afterAutospacing="0"/>
        <w:textAlignment w:val="baseline"/>
        <w:rPr>
          <w:rFonts w:ascii="Segoe UI" w:hAnsi="Segoe UI" w:cs="Segoe UI"/>
        </w:rPr>
      </w:pPr>
      <w:r>
        <w:rPr>
          <w:rFonts w:ascii="Segoe UI" w:hAnsi="Segoe UI" w:cs="Segoe UI"/>
        </w:rPr>
        <w:t>La DGT y la Jurisprudencia viene a decir lo siguiente:</w:t>
      </w:r>
    </w:p>
    <w:p w14:paraId="7FC27A14" w14:textId="77777777" w:rsidR="005A6646" w:rsidRDefault="005A6646" w:rsidP="005A6646">
      <w:pPr>
        <w:pStyle w:val="ember-view"/>
        <w:spacing w:before="0" w:beforeAutospacing="0" w:after="0" w:afterAutospacing="0"/>
        <w:textAlignment w:val="baseline"/>
        <w:rPr>
          <w:rFonts w:ascii="Segoe UI" w:hAnsi="Segoe UI" w:cs="Segoe UI"/>
        </w:rPr>
      </w:pPr>
      <w:r>
        <w:rPr>
          <w:rStyle w:val="white-space-pre"/>
          <w:rFonts w:ascii="Segoe UI" w:eastAsiaTheme="majorEastAsia" w:hAnsi="Segoe UI" w:cs="Segoe UI"/>
          <w:bdr w:val="none" w:sz="0" w:space="0" w:color="auto" w:frame="1"/>
        </w:rPr>
        <w:t xml:space="preserve"> </w:t>
      </w:r>
      <w:r>
        <w:rPr>
          <w:rFonts w:ascii="Segoe UI" w:hAnsi="Segoe UI" w:cs="Segoe UI"/>
        </w:rPr>
        <w:t>La Ley 26/2014, de 27 noviembre 2014, modifica, entre otros, el art. 27 de la Ley del Impuesto sobre la Renta de las Personas Físicas (en adelante, LIRPF), e introduce, a partir del 1 de enero de 2015, un nuevo supuesto de rendimiento de actividades económicas cuyo objetivo es poner fin a la inseguridad jurídica en torno a la calificación fiscal de las rentas obtenidas por los socios de sociedades profesionales en el ejercicio de su actividad.</w:t>
      </w:r>
    </w:p>
    <w:p w14:paraId="62D24B79" w14:textId="77777777" w:rsidR="005A6646" w:rsidRDefault="005A6646" w:rsidP="005A6646">
      <w:pPr>
        <w:pStyle w:val="ember-view"/>
        <w:spacing w:before="0" w:beforeAutospacing="0" w:after="480" w:afterAutospacing="0"/>
        <w:textAlignment w:val="baseline"/>
        <w:rPr>
          <w:rFonts w:ascii="Segoe UI" w:hAnsi="Segoe UI" w:cs="Segoe UI"/>
        </w:rPr>
      </w:pPr>
      <w:r>
        <w:rPr>
          <w:rFonts w:ascii="Segoe UI" w:hAnsi="Segoe UI" w:cs="Segoe UI"/>
        </w:rPr>
        <w:t>Sin embargo, una de las cuestiones más delicadas que plantea la regulación de este nuevo supuesto es, sin duda, su fiscalidad en el IVA.</w:t>
      </w:r>
    </w:p>
    <w:p w14:paraId="38A644B0" w14:textId="77777777" w:rsidR="005A6646" w:rsidRDefault="005A6646" w:rsidP="005A6646">
      <w:pPr>
        <w:pStyle w:val="ember-view"/>
        <w:spacing w:before="0" w:beforeAutospacing="0" w:after="480" w:afterAutospacing="0"/>
        <w:textAlignment w:val="baseline"/>
        <w:rPr>
          <w:rFonts w:ascii="Segoe UI" w:hAnsi="Segoe UI" w:cs="Segoe UI"/>
        </w:rPr>
      </w:pPr>
      <w:r>
        <w:rPr>
          <w:rFonts w:ascii="Segoe UI" w:hAnsi="Segoe UI" w:cs="Segoe UI"/>
        </w:rPr>
        <w:t xml:space="preserve">Por su parte, la DGT ha dictado al respecto una importante resolución, la V1148/15 de 13 de abril de 2015, que trata de forma transversal la nueva fiscalidad de los socios profesionales. De forma transversal, decimos, porque </w:t>
      </w:r>
      <w:r>
        <w:rPr>
          <w:rFonts w:ascii="Segoe UI" w:hAnsi="Segoe UI" w:cs="Segoe UI"/>
        </w:rPr>
        <w:lastRenderedPageBreak/>
        <w:t>aborda diferentes cuestiones en el ámbito del IRPF, del IVA y del IAE, de las que vamos a centrarnos exclusivamente en las concernientes al IVA.</w:t>
      </w:r>
    </w:p>
    <w:p w14:paraId="5DA5E4B5" w14:textId="77777777" w:rsidR="005A6646" w:rsidRDefault="005A6646" w:rsidP="005A6646">
      <w:pPr>
        <w:pStyle w:val="ember-view"/>
        <w:spacing w:before="0" w:beforeAutospacing="0" w:after="0" w:afterAutospacing="0"/>
        <w:textAlignment w:val="baseline"/>
        <w:rPr>
          <w:rFonts w:ascii="Segoe UI" w:hAnsi="Segoe UI" w:cs="Segoe UI"/>
        </w:rPr>
      </w:pPr>
      <w:r>
        <w:rPr>
          <w:rFonts w:ascii="Segoe UI" w:hAnsi="Segoe UI" w:cs="Segoe UI"/>
        </w:rPr>
        <w:t>La Resolución se inicia con una completa cita normativa, administrativa y jurisprudencial de la que se concluye que</w:t>
      </w:r>
      <w:r>
        <w:rPr>
          <w:rStyle w:val="white-space-pre"/>
          <w:rFonts w:ascii="Segoe UI" w:eastAsiaTheme="majorEastAsia" w:hAnsi="Segoe UI" w:cs="Segoe UI"/>
          <w:bdr w:val="none" w:sz="0" w:space="0" w:color="auto" w:frame="1"/>
        </w:rPr>
        <w:t xml:space="preserve"> </w:t>
      </w:r>
      <w:r>
        <w:rPr>
          <w:rStyle w:val="nfasis"/>
          <w:rFonts w:ascii="Segoe UI" w:eastAsiaTheme="majorEastAsia" w:hAnsi="Segoe UI" w:cs="Segoe UI"/>
          <w:bdr w:val="none" w:sz="0" w:space="0" w:color="auto" w:frame="1"/>
        </w:rPr>
        <w:t>“la determinación de si estamos ante una relación de dependencia laboral o ante una actividad profesional en el ámbito del Impuesto sobre el Valor Añadido debe partir de un análisis caso por caso, sobre la base de los indicios que establece la jurisprudencia del Tribunal de Justicia de la Unión Europea”</w:t>
      </w:r>
      <w:r>
        <w:rPr>
          <w:rFonts w:ascii="Segoe UI" w:hAnsi="Segoe UI" w:cs="Segoe UI"/>
        </w:rPr>
        <w:t>. Señalar, tan solo, que la expresión</w:t>
      </w:r>
      <w:r>
        <w:rPr>
          <w:rStyle w:val="white-space-pre"/>
          <w:rFonts w:ascii="Segoe UI" w:eastAsiaTheme="majorEastAsia" w:hAnsi="Segoe UI" w:cs="Segoe UI"/>
          <w:bdr w:val="none" w:sz="0" w:space="0" w:color="auto" w:frame="1"/>
        </w:rPr>
        <w:t xml:space="preserve"> </w:t>
      </w:r>
      <w:r>
        <w:rPr>
          <w:rStyle w:val="nfasis"/>
          <w:rFonts w:ascii="Segoe UI" w:eastAsiaTheme="majorEastAsia" w:hAnsi="Segoe UI" w:cs="Segoe UI"/>
          <w:bdr w:val="none" w:sz="0" w:space="0" w:color="auto" w:frame="1"/>
        </w:rPr>
        <w:t>“dependencia laboral”</w:t>
      </w:r>
      <w:r>
        <w:rPr>
          <w:rStyle w:val="white-space-pre"/>
          <w:rFonts w:ascii="Segoe UI" w:eastAsiaTheme="majorEastAsia" w:hAnsi="Segoe UI" w:cs="Segoe UI"/>
          <w:bdr w:val="none" w:sz="0" w:space="0" w:color="auto" w:frame="1"/>
        </w:rPr>
        <w:t xml:space="preserve"> </w:t>
      </w:r>
      <w:r>
        <w:rPr>
          <w:rFonts w:ascii="Segoe UI" w:hAnsi="Segoe UI" w:cs="Segoe UI"/>
        </w:rPr>
        <w:t>no es exactamente la que el art. 10 de la Directiva utiliza sino, más bien, la de</w:t>
      </w:r>
      <w:r>
        <w:rPr>
          <w:rStyle w:val="white-space-pre"/>
          <w:rFonts w:ascii="Segoe UI" w:eastAsiaTheme="majorEastAsia" w:hAnsi="Segoe UI" w:cs="Segoe UI"/>
          <w:bdr w:val="none" w:sz="0" w:space="0" w:color="auto" w:frame="1"/>
        </w:rPr>
        <w:t xml:space="preserve"> </w:t>
      </w:r>
      <w:r>
        <w:rPr>
          <w:rStyle w:val="nfasis"/>
          <w:rFonts w:ascii="Segoe UI" w:eastAsiaTheme="majorEastAsia" w:hAnsi="Segoe UI" w:cs="Segoe UI"/>
          <w:bdr w:val="none" w:sz="0" w:space="0" w:color="auto" w:frame="1"/>
        </w:rPr>
        <w:t>“cualquier otra relación jurídica que cree lazos de subordinación”</w:t>
      </w:r>
      <w:r>
        <w:rPr>
          <w:rFonts w:ascii="Segoe UI" w:hAnsi="Segoe UI" w:cs="Segoe UI"/>
        </w:rPr>
        <w:t>. Es cierto que el citado artículo se refiere, también, a personas vinculadas</w:t>
      </w:r>
      <w:r>
        <w:rPr>
          <w:rStyle w:val="white-space-pre"/>
          <w:rFonts w:ascii="Segoe UI" w:eastAsiaTheme="majorEastAsia" w:hAnsi="Segoe UI" w:cs="Segoe UI"/>
          <w:bdr w:val="none" w:sz="0" w:space="0" w:color="auto" w:frame="1"/>
        </w:rPr>
        <w:t xml:space="preserve"> </w:t>
      </w:r>
      <w:r>
        <w:rPr>
          <w:rStyle w:val="nfasis"/>
          <w:rFonts w:ascii="Segoe UI" w:eastAsiaTheme="majorEastAsia" w:hAnsi="Segoe UI" w:cs="Segoe UI"/>
          <w:bdr w:val="none" w:sz="0" w:space="0" w:color="auto" w:frame="1"/>
        </w:rPr>
        <w:t>“a su empresario por un contrato de trabajo”.</w:t>
      </w:r>
      <w:r>
        <w:rPr>
          <w:rStyle w:val="white-space-pre"/>
          <w:rFonts w:ascii="Segoe UI" w:eastAsiaTheme="majorEastAsia" w:hAnsi="Segoe UI" w:cs="Segoe UI"/>
          <w:bdr w:val="none" w:sz="0" w:space="0" w:color="auto" w:frame="1"/>
        </w:rPr>
        <w:t xml:space="preserve"> </w:t>
      </w:r>
      <w:r>
        <w:rPr>
          <w:rFonts w:ascii="Segoe UI" w:hAnsi="Segoe UI" w:cs="Segoe UI"/>
        </w:rPr>
        <w:t>Pero está claro que cuando esta última circunstancia concurre estamos, sin duda, ante la existencia de lazos de subordinación y, por tanto, ante un supuesto de no sujeción al impuesto. La cuestión que ha de centrar pues nuestra atención es por tanto el análisis de esas otras</w:t>
      </w:r>
      <w:r>
        <w:rPr>
          <w:rStyle w:val="white-space-pre"/>
          <w:rFonts w:ascii="Segoe UI" w:eastAsiaTheme="majorEastAsia" w:hAnsi="Segoe UI" w:cs="Segoe UI"/>
          <w:bdr w:val="none" w:sz="0" w:space="0" w:color="auto" w:frame="1"/>
        </w:rPr>
        <w:t xml:space="preserve"> </w:t>
      </w:r>
      <w:r>
        <w:rPr>
          <w:rStyle w:val="nfasis"/>
          <w:rFonts w:ascii="Segoe UI" w:eastAsiaTheme="majorEastAsia" w:hAnsi="Segoe UI" w:cs="Segoe UI"/>
          <w:bdr w:val="none" w:sz="0" w:space="0" w:color="auto" w:frame="1"/>
        </w:rPr>
        <w:t>“relaciones jurídicas”</w:t>
      </w:r>
      <w:r>
        <w:rPr>
          <w:rStyle w:val="white-space-pre"/>
          <w:rFonts w:ascii="Segoe UI" w:eastAsiaTheme="majorEastAsia" w:hAnsi="Segoe UI" w:cs="Segoe UI"/>
          <w:bdr w:val="none" w:sz="0" w:space="0" w:color="auto" w:frame="1"/>
        </w:rPr>
        <w:t xml:space="preserve"> </w:t>
      </w:r>
      <w:r>
        <w:rPr>
          <w:rFonts w:ascii="Segoe UI" w:hAnsi="Segoe UI" w:cs="Segoe UI"/>
        </w:rPr>
        <w:t xml:space="preserve">susceptibles de crear tales lazos. Ambas, eso sí, se pueden considerar, en términos prácticos, como situaciones de dependencia laboral o asimiladas. Y es obvio </w:t>
      </w:r>
      <w:proofErr w:type="gramStart"/>
      <w:r>
        <w:rPr>
          <w:rFonts w:ascii="Segoe UI" w:hAnsi="Segoe UI" w:cs="Segoe UI"/>
        </w:rPr>
        <w:t>que</w:t>
      </w:r>
      <w:proofErr w:type="gramEnd"/>
      <w:r>
        <w:rPr>
          <w:rFonts w:ascii="Segoe UI" w:hAnsi="Segoe UI" w:cs="Segoe UI"/>
        </w:rPr>
        <w:t xml:space="preserve"> en el ámbito de tales relaciones ajenas a un contrato de trabajo, el análisis caso por caso es lo que procede.</w:t>
      </w:r>
    </w:p>
    <w:p w14:paraId="4043EC9D" w14:textId="77777777" w:rsidR="005A6646" w:rsidRDefault="005A6646" w:rsidP="005A6646">
      <w:pPr>
        <w:pStyle w:val="ember-view"/>
        <w:spacing w:before="0" w:beforeAutospacing="0" w:after="0" w:afterAutospacing="0"/>
        <w:textAlignment w:val="baseline"/>
        <w:rPr>
          <w:rFonts w:ascii="Segoe UI" w:hAnsi="Segoe UI" w:cs="Segoe UI"/>
        </w:rPr>
      </w:pPr>
      <w:r>
        <w:rPr>
          <w:rFonts w:ascii="Segoe UI" w:hAnsi="Segoe UI" w:cs="Segoe UI"/>
        </w:rPr>
        <w:t>Y en este contexto, la DGT distingue dos situaciones. La primera,</w:t>
      </w:r>
      <w:r>
        <w:rPr>
          <w:rStyle w:val="white-space-pre"/>
          <w:rFonts w:ascii="Segoe UI" w:eastAsiaTheme="majorEastAsia" w:hAnsi="Segoe UI" w:cs="Segoe UI"/>
          <w:bdr w:val="none" w:sz="0" w:space="0" w:color="auto" w:frame="1"/>
        </w:rPr>
        <w:t xml:space="preserve"> </w:t>
      </w:r>
      <w:r>
        <w:rPr>
          <w:rStyle w:val="nfasis"/>
          <w:rFonts w:ascii="Segoe UI" w:eastAsiaTheme="majorEastAsia" w:hAnsi="Segoe UI" w:cs="Segoe UI"/>
          <w:bdr w:val="none" w:sz="0" w:space="0" w:color="auto" w:frame="1"/>
        </w:rPr>
        <w:t>“cuando el socio se procura y organiza él mismo los medios personales y materiales necesarios para el ejercicio de la actividad”.</w:t>
      </w:r>
      <w:r>
        <w:rPr>
          <w:rStyle w:val="white-space-pre"/>
          <w:rFonts w:ascii="Segoe UI" w:eastAsiaTheme="majorEastAsia" w:hAnsi="Segoe UI" w:cs="Segoe UI"/>
          <w:i/>
          <w:iCs/>
          <w:bdr w:val="none" w:sz="0" w:space="0" w:color="auto" w:frame="1"/>
        </w:rPr>
        <w:t xml:space="preserve"> </w:t>
      </w:r>
      <w:r>
        <w:rPr>
          <w:rFonts w:ascii="Segoe UI" w:hAnsi="Segoe UI" w:cs="Segoe UI"/>
        </w:rPr>
        <w:t>Y la segunda, cuando</w:t>
      </w:r>
      <w:r>
        <w:rPr>
          <w:rStyle w:val="white-space-pre"/>
          <w:rFonts w:ascii="Segoe UI" w:eastAsiaTheme="majorEastAsia" w:hAnsi="Segoe UI" w:cs="Segoe UI"/>
          <w:bdr w:val="none" w:sz="0" w:space="0" w:color="auto" w:frame="1"/>
        </w:rPr>
        <w:t xml:space="preserve"> </w:t>
      </w:r>
      <w:r>
        <w:rPr>
          <w:rStyle w:val="nfasis"/>
          <w:rFonts w:ascii="Segoe UI" w:eastAsiaTheme="majorEastAsia" w:hAnsi="Segoe UI" w:cs="Segoe UI"/>
          <w:bdr w:val="none" w:sz="0" w:space="0" w:color="auto" w:frame="1"/>
        </w:rPr>
        <w:t>“la titularidad o el derecho de uso de los activos principales para el ejercicio de la actividad que constituye su objeto social corresponde a la propia entidad”</w:t>
      </w:r>
      <w:r>
        <w:rPr>
          <w:rFonts w:ascii="Segoe UI" w:hAnsi="Segoe UI" w:cs="Segoe UI"/>
        </w:rPr>
        <w:t>.</w:t>
      </w:r>
      <w:r>
        <w:rPr>
          <w:rStyle w:val="white-space-pre"/>
          <w:rFonts w:ascii="Segoe UI" w:eastAsiaTheme="majorEastAsia" w:hAnsi="Segoe UI" w:cs="Segoe UI"/>
          <w:i/>
          <w:iCs/>
          <w:bdr w:val="none" w:sz="0" w:space="0" w:color="auto" w:frame="1"/>
        </w:rPr>
        <w:t xml:space="preserve"> </w:t>
      </w:r>
      <w:r>
        <w:rPr>
          <w:rFonts w:ascii="Segoe UI" w:hAnsi="Segoe UI" w:cs="Segoe UI"/>
        </w:rPr>
        <w:t>Mientras que en el primer caso las prestaciones de servicios que el socio realiza están sujetas al IVA, en el segundo no. Pero analicémoslo con más detenimiento.</w:t>
      </w:r>
    </w:p>
    <w:p w14:paraId="08D91C5A" w14:textId="15DB84BE" w:rsidR="005A6646" w:rsidRDefault="005A6646" w:rsidP="005A6646">
      <w:pPr>
        <w:pStyle w:val="ember-view"/>
        <w:spacing w:before="0" w:beforeAutospacing="0" w:after="0" w:afterAutospacing="0"/>
        <w:textAlignment w:val="baseline"/>
        <w:rPr>
          <w:rFonts w:ascii="Segoe UI" w:hAnsi="Segoe UI" w:cs="Segoe UI"/>
        </w:rPr>
      </w:pPr>
      <w:r>
        <w:rPr>
          <w:rFonts w:ascii="Segoe UI" w:hAnsi="Segoe UI" w:cs="Segoe UI"/>
        </w:rPr>
        <w:t>El que el socio se procure y organice él mismo los medios personales y materiales necesarios para el ejercicio de la actividad, significa que los</w:t>
      </w:r>
      <w:r>
        <w:rPr>
          <w:rStyle w:val="white-space-pre"/>
          <w:rFonts w:ascii="Segoe UI" w:eastAsiaTheme="majorEastAsia" w:hAnsi="Segoe UI" w:cs="Segoe UI"/>
          <w:bdr w:val="none" w:sz="0" w:space="0" w:color="auto" w:frame="1"/>
        </w:rPr>
        <w:t xml:space="preserve"> </w:t>
      </w:r>
      <w:r>
        <w:rPr>
          <w:rStyle w:val="nfasis"/>
          <w:rFonts w:ascii="Segoe UI" w:eastAsiaTheme="majorEastAsia" w:hAnsi="Segoe UI" w:cs="Segoe UI"/>
          <w:bdr w:val="none" w:sz="0" w:space="0" w:color="auto" w:frame="1"/>
        </w:rPr>
        <w:t>“medios principales”</w:t>
      </w:r>
      <w:r>
        <w:rPr>
          <w:rStyle w:val="white-space-pre"/>
          <w:rFonts w:ascii="Segoe UI" w:eastAsiaTheme="majorEastAsia" w:hAnsi="Segoe UI" w:cs="Segoe UI"/>
          <w:bdr w:val="none" w:sz="0" w:space="0" w:color="auto" w:frame="1"/>
        </w:rPr>
        <w:t xml:space="preserve"> </w:t>
      </w:r>
      <w:r>
        <w:rPr>
          <w:rFonts w:ascii="Segoe UI" w:hAnsi="Segoe UI" w:cs="Segoe UI"/>
        </w:rPr>
        <w:t>para realizar la actividad son de titularidad del socio. Sin embargo, puede ocurrir que tales medios sean titularidad de la sociedad de la que se es socio y este ejerza individualmente la profesión. Esto ocurrirá cuando estemos ante una sociedad de medios. Es cierto pues que la</w:t>
      </w:r>
      <w:r>
        <w:rPr>
          <w:rStyle w:val="white-space-pre"/>
          <w:rFonts w:ascii="Segoe UI" w:eastAsiaTheme="majorEastAsia" w:hAnsi="Segoe UI" w:cs="Segoe UI"/>
          <w:bdr w:val="none" w:sz="0" w:space="0" w:color="auto" w:frame="1"/>
        </w:rPr>
        <w:t xml:space="preserve"> </w:t>
      </w:r>
      <w:r>
        <w:rPr>
          <w:rStyle w:val="nfasis"/>
          <w:rFonts w:ascii="Segoe UI" w:eastAsiaTheme="majorEastAsia" w:hAnsi="Segoe UI" w:cs="Segoe UI"/>
          <w:bdr w:val="none" w:sz="0" w:space="0" w:color="auto" w:frame="1"/>
        </w:rPr>
        <w:t>“titularidad”</w:t>
      </w:r>
      <w:r>
        <w:rPr>
          <w:rStyle w:val="white-space-pre"/>
          <w:rFonts w:ascii="Segoe UI" w:eastAsiaTheme="majorEastAsia" w:hAnsi="Segoe UI" w:cs="Segoe UI"/>
          <w:bdr w:val="none" w:sz="0" w:space="0" w:color="auto" w:frame="1"/>
        </w:rPr>
        <w:t xml:space="preserve"> </w:t>
      </w:r>
      <w:r>
        <w:rPr>
          <w:rFonts w:ascii="Segoe UI" w:hAnsi="Segoe UI" w:cs="Segoe UI"/>
        </w:rPr>
        <w:t>es un indicio, pero no es en sí misma determinante. Este no es, parece, el criterio de la DGT para quien</w:t>
      </w:r>
      <w:r>
        <w:rPr>
          <w:rStyle w:val="white-space-pre"/>
          <w:rFonts w:ascii="Segoe UI" w:eastAsiaTheme="majorEastAsia" w:hAnsi="Segoe UI" w:cs="Segoe UI"/>
          <w:bdr w:val="none" w:sz="0" w:space="0" w:color="auto" w:frame="1"/>
        </w:rPr>
        <w:t xml:space="preserve"> </w:t>
      </w:r>
      <w:r>
        <w:rPr>
          <w:rStyle w:val="nfasis"/>
          <w:rFonts w:ascii="Segoe UI" w:eastAsiaTheme="majorEastAsia" w:hAnsi="Segoe UI" w:cs="Segoe UI"/>
          <w:bdr w:val="none" w:sz="0" w:space="0" w:color="auto" w:frame="1"/>
        </w:rPr>
        <w:t>“tratándose de socios que prestan sus servicios a una sociedad, en la que la titularidad o el derecho de uso de los activos principales para el ejercicio de la actividad que constituye su objeto social corresponde a la propia entidad, quedarán excluidos del ámbito de aplicación del Impuesto sobre el Valor Añadido, en la medida en que no concurra un elemento fundamental cual es la ordenación de medios propios”</w:t>
      </w:r>
      <w:r>
        <w:rPr>
          <w:rFonts w:ascii="Segoe UI" w:hAnsi="Segoe UI" w:cs="Segoe UI"/>
        </w:rPr>
        <w:t>. Pero nótese que se señala “</w:t>
      </w:r>
      <w:r>
        <w:rPr>
          <w:rStyle w:val="nfasis"/>
          <w:rFonts w:ascii="Segoe UI" w:eastAsiaTheme="majorEastAsia" w:hAnsi="Segoe UI" w:cs="Segoe UI"/>
          <w:bdr w:val="none" w:sz="0" w:space="0" w:color="auto" w:frame="1"/>
        </w:rPr>
        <w:t>en la medida en que no</w:t>
      </w:r>
      <w:r>
        <w:rPr>
          <w:rStyle w:val="white-space-pre"/>
          <w:rFonts w:ascii="Segoe UI" w:eastAsiaTheme="majorEastAsia" w:hAnsi="Segoe UI" w:cs="Segoe UI"/>
          <w:i/>
          <w:iCs/>
          <w:bdr w:val="none" w:sz="0" w:space="0" w:color="auto" w:frame="1"/>
        </w:rPr>
        <w:t xml:space="preserve"> </w:t>
      </w:r>
      <w:r>
        <w:rPr>
          <w:rStyle w:val="nfasis"/>
          <w:rFonts w:ascii="Segoe UI" w:eastAsiaTheme="majorEastAsia" w:hAnsi="Segoe UI" w:cs="Segoe UI"/>
          <w:b/>
          <w:bCs/>
          <w:bdr w:val="none" w:sz="0" w:space="0" w:color="auto" w:frame="1"/>
        </w:rPr>
        <w:t>concurra</w:t>
      </w:r>
      <w:r>
        <w:rPr>
          <w:rStyle w:val="white-space-pre"/>
          <w:rFonts w:ascii="Segoe UI" w:eastAsiaTheme="majorEastAsia" w:hAnsi="Segoe UI" w:cs="Segoe UI"/>
          <w:i/>
          <w:iCs/>
          <w:bdr w:val="none" w:sz="0" w:space="0" w:color="auto" w:frame="1"/>
        </w:rPr>
        <w:t xml:space="preserve"> </w:t>
      </w:r>
      <w:r>
        <w:rPr>
          <w:rStyle w:val="nfasis"/>
          <w:rFonts w:ascii="Segoe UI" w:eastAsiaTheme="majorEastAsia" w:hAnsi="Segoe UI" w:cs="Segoe UI"/>
          <w:bdr w:val="none" w:sz="0" w:space="0" w:color="auto" w:frame="1"/>
        </w:rPr>
        <w:t>un elemento fundamental cual es la ordenación de medios propios”</w:t>
      </w:r>
      <w:r>
        <w:rPr>
          <w:rStyle w:val="white-space-pre"/>
          <w:rFonts w:ascii="Segoe UI" w:eastAsiaTheme="majorEastAsia" w:hAnsi="Segoe UI" w:cs="Segoe UI"/>
          <w:bdr w:val="none" w:sz="0" w:space="0" w:color="auto" w:frame="1"/>
        </w:rPr>
        <w:t xml:space="preserve"> </w:t>
      </w:r>
      <w:r>
        <w:rPr>
          <w:rFonts w:ascii="Segoe UI" w:hAnsi="Segoe UI" w:cs="Segoe UI"/>
        </w:rPr>
        <w:t>y no “</w:t>
      </w:r>
      <w:r>
        <w:rPr>
          <w:rStyle w:val="nfasis"/>
          <w:rFonts w:ascii="Segoe UI" w:eastAsiaTheme="majorEastAsia" w:hAnsi="Segoe UI" w:cs="Segoe UI"/>
          <w:bdr w:val="none" w:sz="0" w:space="0" w:color="auto" w:frame="1"/>
        </w:rPr>
        <w:t>en la medida en que no</w:t>
      </w:r>
      <w:r>
        <w:rPr>
          <w:rStyle w:val="white-space-pre"/>
          <w:rFonts w:ascii="Segoe UI" w:eastAsiaTheme="majorEastAsia" w:hAnsi="Segoe UI" w:cs="Segoe UI"/>
          <w:i/>
          <w:iCs/>
          <w:bdr w:val="none" w:sz="0" w:space="0" w:color="auto" w:frame="1"/>
        </w:rPr>
        <w:t xml:space="preserve"> </w:t>
      </w:r>
      <w:r>
        <w:rPr>
          <w:rStyle w:val="nfasis"/>
          <w:rFonts w:ascii="Segoe UI" w:eastAsiaTheme="majorEastAsia" w:hAnsi="Segoe UI" w:cs="Segoe UI"/>
          <w:b/>
          <w:bCs/>
          <w:bdr w:val="none" w:sz="0" w:space="0" w:color="auto" w:frame="1"/>
        </w:rPr>
        <w:t>concurre</w:t>
      </w:r>
      <w:r>
        <w:rPr>
          <w:rStyle w:val="white-space-pre"/>
          <w:rFonts w:ascii="Segoe UI" w:eastAsiaTheme="majorEastAsia" w:hAnsi="Segoe UI" w:cs="Segoe UI"/>
          <w:i/>
          <w:iCs/>
          <w:bdr w:val="none" w:sz="0" w:space="0" w:color="auto" w:frame="1"/>
        </w:rPr>
        <w:t xml:space="preserve"> </w:t>
      </w:r>
      <w:r>
        <w:rPr>
          <w:rStyle w:val="nfasis"/>
          <w:rFonts w:ascii="Segoe UI" w:eastAsiaTheme="majorEastAsia" w:hAnsi="Segoe UI" w:cs="Segoe UI"/>
          <w:bdr w:val="none" w:sz="0" w:space="0" w:color="auto" w:frame="1"/>
        </w:rPr>
        <w:t>un elemento fundamental cual es la ordenación de medios propios”</w:t>
      </w:r>
      <w:r>
        <w:rPr>
          <w:rFonts w:ascii="Segoe UI" w:hAnsi="Segoe UI" w:cs="Segoe UI"/>
        </w:rPr>
        <w:t xml:space="preserve">; cuestión esta terminológica de cierta importancia, ya que si se </w:t>
      </w:r>
      <w:r>
        <w:rPr>
          <w:rFonts w:ascii="Segoe UI" w:hAnsi="Segoe UI" w:cs="Segoe UI"/>
        </w:rPr>
        <w:lastRenderedPageBreak/>
        <w:t>hubiese utilizado la expresión</w:t>
      </w:r>
      <w:r>
        <w:rPr>
          <w:rStyle w:val="white-space-pre"/>
          <w:rFonts w:ascii="Segoe UI" w:eastAsiaTheme="majorEastAsia" w:hAnsi="Segoe UI" w:cs="Segoe UI"/>
          <w:bdr w:val="none" w:sz="0" w:space="0" w:color="auto" w:frame="1"/>
        </w:rPr>
        <w:t xml:space="preserve"> </w:t>
      </w:r>
      <w:r>
        <w:rPr>
          <w:rStyle w:val="nfasis"/>
          <w:rFonts w:ascii="Segoe UI" w:eastAsiaTheme="majorEastAsia" w:hAnsi="Segoe UI" w:cs="Segoe UI"/>
          <w:bdr w:val="none" w:sz="0" w:space="0" w:color="auto" w:frame="1"/>
        </w:rPr>
        <w:t>“concurr</w:t>
      </w:r>
      <w:r w:rsidR="008043F6">
        <w:rPr>
          <w:rStyle w:val="nfasis"/>
          <w:rFonts w:ascii="Segoe UI" w:eastAsiaTheme="majorEastAsia" w:hAnsi="Segoe UI" w:cs="Segoe UI"/>
          <w:bdr w:val="none" w:sz="0" w:space="0" w:color="auto" w:frame="1"/>
        </w:rPr>
        <w:t>e</w:t>
      </w:r>
      <w:r>
        <w:rPr>
          <w:rStyle w:val="nfasis"/>
          <w:rFonts w:ascii="Segoe UI" w:eastAsiaTheme="majorEastAsia" w:hAnsi="Segoe UI" w:cs="Segoe UI"/>
          <w:bdr w:val="none" w:sz="0" w:space="0" w:color="auto" w:frame="1"/>
        </w:rPr>
        <w:t>”</w:t>
      </w:r>
      <w:r>
        <w:rPr>
          <w:rStyle w:val="white-space-pre"/>
          <w:rFonts w:ascii="Segoe UI" w:eastAsiaTheme="majorEastAsia" w:hAnsi="Segoe UI" w:cs="Segoe UI"/>
          <w:bdr w:val="none" w:sz="0" w:space="0" w:color="auto" w:frame="1"/>
        </w:rPr>
        <w:t xml:space="preserve"> </w:t>
      </w:r>
      <w:r>
        <w:rPr>
          <w:rFonts w:ascii="Segoe UI" w:hAnsi="Segoe UI" w:cs="Segoe UI"/>
        </w:rPr>
        <w:t>hubiera quedado claro que en tales casos, esto es, en los que</w:t>
      </w:r>
      <w:r>
        <w:rPr>
          <w:rStyle w:val="white-space-pre"/>
          <w:rFonts w:ascii="Segoe UI" w:eastAsiaTheme="majorEastAsia" w:hAnsi="Segoe UI" w:cs="Segoe UI"/>
          <w:bdr w:val="none" w:sz="0" w:space="0" w:color="auto" w:frame="1"/>
        </w:rPr>
        <w:t xml:space="preserve"> </w:t>
      </w:r>
      <w:r>
        <w:rPr>
          <w:rStyle w:val="nfasis"/>
          <w:rFonts w:ascii="Segoe UI" w:eastAsiaTheme="majorEastAsia" w:hAnsi="Segoe UI" w:cs="Segoe UI"/>
          <w:bdr w:val="none" w:sz="0" w:space="0" w:color="auto" w:frame="1"/>
        </w:rPr>
        <w:t>“la titularidad o el derecho de uso de los activos principales para el ejercicio de la actividad (…) corresponde a la propia entidad”,</w:t>
      </w:r>
      <w:r>
        <w:rPr>
          <w:rStyle w:val="white-space-pre"/>
          <w:rFonts w:ascii="Segoe UI" w:eastAsiaTheme="majorEastAsia" w:hAnsi="Segoe UI" w:cs="Segoe UI"/>
          <w:bdr w:val="none" w:sz="0" w:space="0" w:color="auto" w:frame="1"/>
        </w:rPr>
        <w:t xml:space="preserve"> </w:t>
      </w:r>
      <w:r>
        <w:rPr>
          <w:rFonts w:ascii="Segoe UI" w:hAnsi="Segoe UI" w:cs="Segoe UI"/>
        </w:rPr>
        <w:t>no existe ordenación de medios propios. No obstante, al utilizar el término</w:t>
      </w:r>
      <w:r>
        <w:rPr>
          <w:rStyle w:val="white-space-pre"/>
          <w:rFonts w:ascii="Segoe UI" w:eastAsiaTheme="majorEastAsia" w:hAnsi="Segoe UI" w:cs="Segoe UI"/>
          <w:bdr w:val="none" w:sz="0" w:space="0" w:color="auto" w:frame="1"/>
        </w:rPr>
        <w:t xml:space="preserve"> </w:t>
      </w:r>
      <w:r>
        <w:rPr>
          <w:rStyle w:val="nfasis"/>
          <w:rFonts w:ascii="Segoe UI" w:eastAsiaTheme="majorEastAsia" w:hAnsi="Segoe UI" w:cs="Segoe UI"/>
          <w:bdr w:val="none" w:sz="0" w:space="0" w:color="auto" w:frame="1"/>
        </w:rPr>
        <w:t>“concurr</w:t>
      </w:r>
      <w:r w:rsidR="008043F6">
        <w:rPr>
          <w:rStyle w:val="nfasis"/>
          <w:rFonts w:ascii="Segoe UI" w:eastAsiaTheme="majorEastAsia" w:hAnsi="Segoe UI" w:cs="Segoe UI"/>
          <w:bdr w:val="none" w:sz="0" w:space="0" w:color="auto" w:frame="1"/>
        </w:rPr>
        <w:t>a</w:t>
      </w:r>
      <w:r>
        <w:rPr>
          <w:rStyle w:val="nfasis"/>
          <w:rFonts w:ascii="Segoe UI" w:eastAsiaTheme="majorEastAsia" w:hAnsi="Segoe UI" w:cs="Segoe UI"/>
          <w:bdr w:val="none" w:sz="0" w:space="0" w:color="auto" w:frame="1"/>
        </w:rPr>
        <w:t>”</w:t>
      </w:r>
      <w:r>
        <w:rPr>
          <w:rFonts w:ascii="Segoe UI" w:hAnsi="Segoe UI" w:cs="Segoe UI"/>
        </w:rPr>
        <w:t xml:space="preserve">, hay que entender que no se está sujeto al IVA en la medida en la que el socio profesional no ordene tales medios, circunstancia, insistimos, que es lo que sucede en una sociedad de medios. Desde esta perspectiva, y así interpretado, el tiempo verbal utilizado es el </w:t>
      </w:r>
      <w:r w:rsidR="007E0C99">
        <w:rPr>
          <w:rFonts w:ascii="Segoe UI" w:hAnsi="Segoe UI" w:cs="Segoe UI"/>
        </w:rPr>
        <w:t>correcto,</w:t>
      </w:r>
      <w:r>
        <w:rPr>
          <w:rFonts w:ascii="Segoe UI" w:hAnsi="Segoe UI" w:cs="Segoe UI"/>
        </w:rPr>
        <w:t xml:space="preserve"> aunque hubiera sido deseable una mayor concreción y claridad.</w:t>
      </w:r>
      <w:r>
        <w:rPr>
          <w:rStyle w:val="white-space-pre"/>
          <w:rFonts w:ascii="Segoe UI" w:eastAsiaTheme="majorEastAsia" w:hAnsi="Segoe UI" w:cs="Segoe UI"/>
          <w:bdr w:val="none" w:sz="0" w:space="0" w:color="auto" w:frame="1"/>
        </w:rPr>
        <w:t xml:space="preserve"> </w:t>
      </w:r>
    </w:p>
    <w:p w14:paraId="0C216FF5" w14:textId="4F402FEF" w:rsidR="005A6646" w:rsidRDefault="005A6646" w:rsidP="005A6646">
      <w:pPr>
        <w:pStyle w:val="ember-view"/>
        <w:spacing w:before="0" w:beforeAutospacing="0" w:after="0" w:afterAutospacing="0"/>
        <w:textAlignment w:val="baseline"/>
        <w:rPr>
          <w:rFonts w:ascii="Segoe UI" w:hAnsi="Segoe UI" w:cs="Segoe UI"/>
        </w:rPr>
      </w:pPr>
      <w:r>
        <w:rPr>
          <w:rFonts w:ascii="Segoe UI" w:hAnsi="Segoe UI" w:cs="Segoe UI"/>
        </w:rPr>
        <w:t>Pero nótese que inmediatamente a continuación, la DGT afirma que</w:t>
      </w:r>
      <w:r>
        <w:rPr>
          <w:rStyle w:val="white-space-pre"/>
          <w:rFonts w:ascii="Segoe UI" w:eastAsiaTheme="majorEastAsia" w:hAnsi="Segoe UI" w:cs="Segoe UI"/>
          <w:bdr w:val="none" w:sz="0" w:space="0" w:color="auto" w:frame="1"/>
        </w:rPr>
        <w:t xml:space="preserve"> </w:t>
      </w:r>
      <w:r>
        <w:rPr>
          <w:rStyle w:val="nfasis"/>
          <w:rFonts w:ascii="Segoe UI" w:eastAsiaTheme="majorEastAsia" w:hAnsi="Segoe UI" w:cs="Segoe UI"/>
          <w:bdr w:val="none" w:sz="0" w:space="0" w:color="auto" w:frame="1"/>
        </w:rPr>
        <w:t xml:space="preserve">“a este respecto, tratándose de socios que prestan sus servicios profesionales a una sociedad, la cual tenga por objeto la prestación de servicios de dicha naturaleza, habrá que tener en cuenta, tal y como se ha señalado, si los medios de producción residen en </w:t>
      </w:r>
      <w:r w:rsidR="007E0C99">
        <w:rPr>
          <w:rStyle w:val="nfasis"/>
          <w:rFonts w:ascii="Segoe UI" w:eastAsiaTheme="majorEastAsia" w:hAnsi="Segoe UI" w:cs="Segoe UI"/>
          <w:bdr w:val="none" w:sz="0" w:space="0" w:color="auto" w:frame="1"/>
        </w:rPr>
        <w:t>el propio</w:t>
      </w:r>
      <w:r>
        <w:rPr>
          <w:rStyle w:val="nfasis"/>
          <w:rFonts w:ascii="Segoe UI" w:eastAsiaTheme="majorEastAsia" w:hAnsi="Segoe UI" w:cs="Segoe UI"/>
          <w:bdr w:val="none" w:sz="0" w:space="0" w:color="auto" w:frame="1"/>
        </w:rPr>
        <w:t xml:space="preserve"> socio”</w:t>
      </w:r>
      <w:r>
        <w:rPr>
          <w:rFonts w:ascii="Segoe UI" w:hAnsi="Segoe UI" w:cs="Segoe UI"/>
        </w:rPr>
        <w:t>. Parece pues como si la DGT se quiera referir primero al supuesto general de socio-sociedad y, después, al supuesto en concreto de socio profesional-sociedad profesional. Y mientras que en el primer caso se habla de la</w:t>
      </w:r>
      <w:r>
        <w:rPr>
          <w:rStyle w:val="white-space-pre"/>
          <w:rFonts w:ascii="Segoe UI" w:eastAsiaTheme="majorEastAsia" w:hAnsi="Segoe UI" w:cs="Segoe UI"/>
          <w:bdr w:val="none" w:sz="0" w:space="0" w:color="auto" w:frame="1"/>
        </w:rPr>
        <w:t xml:space="preserve"> </w:t>
      </w:r>
      <w:r>
        <w:rPr>
          <w:rStyle w:val="nfasis"/>
          <w:rFonts w:ascii="Segoe UI" w:eastAsiaTheme="majorEastAsia" w:hAnsi="Segoe UI" w:cs="Segoe UI"/>
          <w:bdr w:val="none" w:sz="0" w:space="0" w:color="auto" w:frame="1"/>
        </w:rPr>
        <w:t>“titularidad o el derecho de uso de los activos principales”</w:t>
      </w:r>
      <w:r>
        <w:rPr>
          <w:rFonts w:ascii="Segoe UI" w:hAnsi="Segoe UI" w:cs="Segoe UI"/>
        </w:rPr>
        <w:t>, en el segundo de</w:t>
      </w:r>
      <w:r>
        <w:rPr>
          <w:rStyle w:val="white-space-pre"/>
          <w:rFonts w:ascii="Segoe UI" w:eastAsiaTheme="majorEastAsia" w:hAnsi="Segoe UI" w:cs="Segoe UI"/>
          <w:bdr w:val="none" w:sz="0" w:space="0" w:color="auto" w:frame="1"/>
        </w:rPr>
        <w:t xml:space="preserve"> </w:t>
      </w:r>
      <w:r>
        <w:rPr>
          <w:rStyle w:val="nfasis"/>
          <w:rFonts w:ascii="Segoe UI" w:eastAsiaTheme="majorEastAsia" w:hAnsi="Segoe UI" w:cs="Segoe UI"/>
          <w:bdr w:val="none" w:sz="0" w:space="0" w:color="auto" w:frame="1"/>
        </w:rPr>
        <w:t>“medios de producción”</w:t>
      </w:r>
      <w:r>
        <w:rPr>
          <w:rFonts w:ascii="Segoe UI" w:hAnsi="Segoe UI" w:cs="Segoe UI"/>
        </w:rPr>
        <w:t xml:space="preserve">, expresión, por su parte, que se utiliza exclusivamente en esta ocasión y cuyo significado no se define; expresión, recordémoslo, utilizada, eso sí, en la Nota 1/12 de la AEAT con relación a la calificación de la renta que los socios profesionales perciben de la sociedad profesional en la que participan. Es cierto, sin embargo, que ambas expresiones se </w:t>
      </w:r>
      <w:r w:rsidR="007E0C99">
        <w:rPr>
          <w:rFonts w:ascii="Segoe UI" w:hAnsi="Segoe UI" w:cs="Segoe UI"/>
        </w:rPr>
        <w:t>utilizan como</w:t>
      </w:r>
      <w:r>
        <w:rPr>
          <w:rFonts w:ascii="Segoe UI" w:hAnsi="Segoe UI" w:cs="Segoe UI"/>
        </w:rPr>
        <w:t xml:space="preserve"> sinónimas y que, en realidad, la precisión que se hace no añade nada nuevo ya que interpretada en el contexto en el que se incluye se ha de entender necesariamente en el sentido de que si la titularidad de los medios de producción, esto es, de los activos principales para el ejercicio de la actividad, es del socio profesional, las prestaciones de servicio que este realiza en favor de la sociedad están sujetas al impuesto. En caso contrario, no. Y de ahí, precisamente, que la DGT afirme a continuación, y a modo de </w:t>
      </w:r>
      <w:r w:rsidR="007E0C99">
        <w:rPr>
          <w:rFonts w:ascii="Segoe UI" w:hAnsi="Segoe UI" w:cs="Segoe UI"/>
        </w:rPr>
        <w:t>conclusión, que</w:t>
      </w:r>
      <w:r>
        <w:rPr>
          <w:rFonts w:ascii="Segoe UI" w:hAnsi="Segoe UI" w:cs="Segoe UI"/>
        </w:rPr>
        <w:t>,</w:t>
      </w:r>
      <w:r>
        <w:rPr>
          <w:rStyle w:val="white-space-pre"/>
          <w:rFonts w:ascii="Segoe UI" w:eastAsiaTheme="majorEastAsia" w:hAnsi="Segoe UI" w:cs="Segoe UI"/>
          <w:bdr w:val="none" w:sz="0" w:space="0" w:color="auto" w:frame="1"/>
        </w:rPr>
        <w:t xml:space="preserve"> </w:t>
      </w:r>
      <w:r>
        <w:rPr>
          <w:rStyle w:val="nfasis"/>
          <w:rFonts w:ascii="Segoe UI" w:eastAsiaTheme="majorEastAsia" w:hAnsi="Segoe UI" w:cs="Segoe UI"/>
          <w:bdr w:val="none" w:sz="0" w:space="0" w:color="auto" w:frame="1"/>
        </w:rPr>
        <w:t>“por tanto, en caso de que la titularidad o el derecho de uso de los activos principales no correspondan a la sociedad, habrá que analizar cada caso concreto y tener en cuenta todas las circunstancias concurrentes para determinar si existe o no ejercicio independiente de una actividad económica”</w:t>
      </w:r>
      <w:r>
        <w:rPr>
          <w:rFonts w:ascii="Segoe UI" w:hAnsi="Segoe UI" w:cs="Segoe UI"/>
        </w:rPr>
        <w:t>.</w:t>
      </w:r>
      <w:r>
        <w:rPr>
          <w:rStyle w:val="white-space-pre"/>
          <w:rFonts w:ascii="Segoe UI" w:eastAsiaTheme="majorEastAsia" w:hAnsi="Segoe UI" w:cs="Segoe UI"/>
          <w:bdr w:val="none" w:sz="0" w:space="0" w:color="auto" w:frame="1"/>
        </w:rPr>
        <w:t xml:space="preserve"> </w:t>
      </w:r>
    </w:p>
    <w:p w14:paraId="79D0B383" w14:textId="0224A5F8" w:rsidR="005A6646" w:rsidRDefault="005A6646" w:rsidP="005A6646">
      <w:pPr>
        <w:pStyle w:val="ember-view"/>
        <w:spacing w:before="0" w:beforeAutospacing="0" w:after="0" w:afterAutospacing="0"/>
        <w:textAlignment w:val="baseline"/>
        <w:rPr>
          <w:rFonts w:ascii="Segoe UI" w:hAnsi="Segoe UI" w:cs="Segoe UI"/>
        </w:rPr>
      </w:pPr>
      <w:r>
        <w:rPr>
          <w:rFonts w:ascii="Segoe UI" w:hAnsi="Segoe UI" w:cs="Segoe UI"/>
        </w:rPr>
        <w:t xml:space="preserve">En definitiva, si la titularidad o el derecho de uso de los activos principales para el ejercicio de la actividad profesional son de la sociedad, las prestaciones de servicio realizadas por el socio profesional están no sujetas al IVA. Por el contrario, si la titularidad o el derecho de uso de los activos principales para el ejercicio de la actividad profesional es del socio, las prestaciones de servicio que este </w:t>
      </w:r>
      <w:r w:rsidR="007E0C99">
        <w:rPr>
          <w:rFonts w:ascii="Segoe UI" w:hAnsi="Segoe UI" w:cs="Segoe UI"/>
        </w:rPr>
        <w:t>último</w:t>
      </w:r>
      <w:r>
        <w:rPr>
          <w:rFonts w:ascii="Segoe UI" w:hAnsi="Segoe UI" w:cs="Segoe UI"/>
        </w:rPr>
        <w:t xml:space="preserve"> realiza a favor de la sociedad, están sujetas al IVA siempre que concurran las circunstancias objetivas que permitan concluir que no existen lazos de subordinación entre el socio y la sociedad</w:t>
      </w:r>
      <w:r>
        <w:rPr>
          <w:rStyle w:val="white-space-pre"/>
          <w:rFonts w:ascii="Segoe UI" w:eastAsiaTheme="majorEastAsia" w:hAnsi="Segoe UI" w:cs="Segoe UI"/>
          <w:bdr w:val="none" w:sz="0" w:space="0" w:color="auto" w:frame="1"/>
        </w:rPr>
        <w:t xml:space="preserve"> </w:t>
      </w:r>
      <w:r>
        <w:rPr>
          <w:rStyle w:val="nfasis"/>
          <w:rFonts w:ascii="Segoe UI" w:eastAsiaTheme="majorEastAsia" w:hAnsi="Segoe UI" w:cs="Segoe UI"/>
          <w:bdr w:val="none" w:sz="0" w:space="0" w:color="auto" w:frame="1"/>
        </w:rPr>
        <w:t>“en lo que concierne a las condiciones laborales y retributivas y a la responsabilidad del empresario”</w:t>
      </w:r>
      <w:r>
        <w:rPr>
          <w:rFonts w:ascii="Segoe UI" w:hAnsi="Segoe UI" w:cs="Segoe UI"/>
        </w:rPr>
        <w:t>.</w:t>
      </w:r>
    </w:p>
    <w:p w14:paraId="56839A8E" w14:textId="77777777" w:rsidR="005A6646" w:rsidRDefault="005A6646" w:rsidP="005A6646">
      <w:pPr>
        <w:pStyle w:val="ember-view"/>
        <w:spacing w:before="0" w:beforeAutospacing="0" w:after="0" w:afterAutospacing="0"/>
        <w:textAlignment w:val="baseline"/>
        <w:rPr>
          <w:rFonts w:ascii="Segoe UI" w:hAnsi="Segoe UI" w:cs="Segoe UI"/>
        </w:rPr>
      </w:pPr>
      <w:r>
        <w:rPr>
          <w:rFonts w:ascii="Segoe UI" w:hAnsi="Segoe UI" w:cs="Segoe UI"/>
        </w:rPr>
        <w:lastRenderedPageBreak/>
        <w:t xml:space="preserve">Hay que subrayar, sin embargo, que la DGT no habla de ordenación por cuenta propia de </w:t>
      </w:r>
      <w:proofErr w:type="gramStart"/>
      <w:r>
        <w:rPr>
          <w:rFonts w:ascii="Segoe UI" w:hAnsi="Segoe UI" w:cs="Segoe UI"/>
        </w:rPr>
        <w:t>los  medios</w:t>
      </w:r>
      <w:proofErr w:type="gramEnd"/>
      <w:r>
        <w:rPr>
          <w:rFonts w:ascii="Segoe UI" w:hAnsi="Segoe UI" w:cs="Segoe UI"/>
        </w:rPr>
        <w:t xml:space="preserve"> de producción, sino de</w:t>
      </w:r>
      <w:r>
        <w:rPr>
          <w:rStyle w:val="white-space-pre"/>
          <w:rFonts w:ascii="Segoe UI" w:eastAsiaTheme="majorEastAsia" w:hAnsi="Segoe UI" w:cs="Segoe UI"/>
          <w:bdr w:val="none" w:sz="0" w:space="0" w:color="auto" w:frame="1"/>
        </w:rPr>
        <w:t xml:space="preserve"> </w:t>
      </w:r>
      <w:r>
        <w:rPr>
          <w:rStyle w:val="nfasis"/>
          <w:rFonts w:ascii="Segoe UI" w:eastAsiaTheme="majorEastAsia" w:hAnsi="Segoe UI" w:cs="Segoe UI"/>
          <w:bdr w:val="none" w:sz="0" w:space="0" w:color="auto" w:frame="1"/>
        </w:rPr>
        <w:t>“ordenación de medios propios”</w:t>
      </w:r>
      <w:r>
        <w:rPr>
          <w:rFonts w:ascii="Segoe UI" w:hAnsi="Segoe UI" w:cs="Segoe UI"/>
        </w:rPr>
        <w:t>, y que en el caso concreto de sociedades profesionales se refiere expresamente a que hay que analizar si los</w:t>
      </w:r>
      <w:r>
        <w:rPr>
          <w:rStyle w:val="white-space-pre"/>
          <w:rFonts w:ascii="Segoe UI" w:eastAsiaTheme="majorEastAsia" w:hAnsi="Segoe UI" w:cs="Segoe UI"/>
          <w:bdr w:val="none" w:sz="0" w:space="0" w:color="auto" w:frame="1"/>
        </w:rPr>
        <w:t xml:space="preserve"> </w:t>
      </w:r>
      <w:r>
        <w:rPr>
          <w:rStyle w:val="nfasis"/>
          <w:rFonts w:ascii="Segoe UI" w:eastAsiaTheme="majorEastAsia" w:hAnsi="Segoe UI" w:cs="Segoe UI"/>
          <w:bdr w:val="none" w:sz="0" w:space="0" w:color="auto" w:frame="1"/>
        </w:rPr>
        <w:t>“medios de producción residen en el propio socio”</w:t>
      </w:r>
      <w:r>
        <w:rPr>
          <w:rFonts w:ascii="Segoe UI" w:hAnsi="Segoe UI" w:cs="Segoe UI"/>
        </w:rPr>
        <w:t>. Ordenación de medios propios no significa otra cosa que ordenación de los medios de los que se es titular. En consecuencia, la precisión que se hace con relación a las sociedades profesionales no deja de ser una reiteración de lo que se afirma con carácter general. Por el contrario, si la expresión</w:t>
      </w:r>
      <w:r>
        <w:rPr>
          <w:rStyle w:val="white-space-pre"/>
          <w:rFonts w:ascii="Segoe UI" w:eastAsiaTheme="majorEastAsia" w:hAnsi="Segoe UI" w:cs="Segoe UI"/>
          <w:bdr w:val="none" w:sz="0" w:space="0" w:color="auto" w:frame="1"/>
        </w:rPr>
        <w:t xml:space="preserve"> </w:t>
      </w:r>
      <w:r>
        <w:rPr>
          <w:rStyle w:val="nfasis"/>
          <w:rFonts w:ascii="Segoe UI" w:eastAsiaTheme="majorEastAsia" w:hAnsi="Segoe UI" w:cs="Segoe UI"/>
          <w:bdr w:val="none" w:sz="0" w:space="0" w:color="auto" w:frame="1"/>
        </w:rPr>
        <w:t>“en la medida en que no concurra un elemento fundamental cual es la ordenación de medios propios”</w:t>
      </w:r>
      <w:r>
        <w:rPr>
          <w:rFonts w:ascii="Segoe UI" w:hAnsi="Segoe UI" w:cs="Segoe UI"/>
        </w:rPr>
        <w:t>, se interpreta en el sentido de que no concurra la ordenación de</w:t>
      </w:r>
      <w:r>
        <w:rPr>
          <w:rStyle w:val="white-space-pre"/>
          <w:rFonts w:ascii="Segoe UI" w:eastAsiaTheme="majorEastAsia" w:hAnsi="Segoe UI" w:cs="Segoe UI"/>
          <w:bdr w:val="none" w:sz="0" w:space="0" w:color="auto" w:frame="1"/>
        </w:rPr>
        <w:t xml:space="preserve"> </w:t>
      </w:r>
      <w:r>
        <w:rPr>
          <w:rStyle w:val="nfasis"/>
          <w:rFonts w:ascii="Segoe UI" w:eastAsiaTheme="majorEastAsia" w:hAnsi="Segoe UI" w:cs="Segoe UI"/>
          <w:bdr w:val="none" w:sz="0" w:space="0" w:color="auto" w:frame="1"/>
        </w:rPr>
        <w:t>“otros”</w:t>
      </w:r>
      <w:r>
        <w:rPr>
          <w:rStyle w:val="white-space-pre"/>
          <w:rFonts w:ascii="Segoe UI" w:eastAsiaTheme="majorEastAsia" w:hAnsi="Segoe UI" w:cs="Segoe UI"/>
          <w:bdr w:val="none" w:sz="0" w:space="0" w:color="auto" w:frame="1"/>
        </w:rPr>
        <w:t xml:space="preserve"> </w:t>
      </w:r>
      <w:r>
        <w:rPr>
          <w:rFonts w:ascii="Segoe UI" w:hAnsi="Segoe UI" w:cs="Segoe UI"/>
        </w:rPr>
        <w:t>medios que son titularidad del socio, se puede concluir que, en tales casos, las prestaciones de servicios que se realicen están sujetas al IVA. ¿Y a qué medios de producción se pueden estar refiriendo? Pues parece que no pueden ser otros que la propia capacitación profesional, interpretación que no compartimos y que tiene un difícil encaje con la categórica conclusión general que con posterioridad la DGT hace, recordémoslo, que</w:t>
      </w:r>
      <w:r>
        <w:rPr>
          <w:rStyle w:val="white-space-pre"/>
          <w:rFonts w:ascii="Segoe UI" w:eastAsiaTheme="majorEastAsia" w:hAnsi="Segoe UI" w:cs="Segoe UI"/>
          <w:bdr w:val="none" w:sz="0" w:space="0" w:color="auto" w:frame="1"/>
        </w:rPr>
        <w:t xml:space="preserve"> </w:t>
      </w:r>
      <w:r>
        <w:rPr>
          <w:rStyle w:val="nfasis"/>
          <w:rFonts w:ascii="Segoe UI" w:eastAsiaTheme="majorEastAsia" w:hAnsi="Segoe UI" w:cs="Segoe UI"/>
          <w:bdr w:val="none" w:sz="0" w:space="0" w:color="auto" w:frame="1"/>
        </w:rPr>
        <w:t>“por tanto en caso de que la titularidad o el derecho de uso de los activos principales no correspondan a la sociedad, habrá que analizar cada caso concreto y tener en cuenta todas las circunstancias concurrentes para determinar si existe o no ejercicio independiente de una actividad económica”.</w:t>
      </w:r>
      <w:r>
        <w:rPr>
          <w:rStyle w:val="white-space-pre"/>
          <w:rFonts w:ascii="Segoe UI" w:eastAsiaTheme="majorEastAsia" w:hAnsi="Segoe UI" w:cs="Segoe UI"/>
          <w:bdr w:val="none" w:sz="0" w:space="0" w:color="auto" w:frame="1"/>
        </w:rPr>
        <w:t xml:space="preserve"> </w:t>
      </w:r>
      <w:r>
        <w:rPr>
          <w:rFonts w:ascii="Segoe UI" w:hAnsi="Segoe UI" w:cs="Segoe UI"/>
        </w:rPr>
        <w:t>Por su parte, tal interpretación significaría aceptar que las expresiones</w:t>
      </w:r>
      <w:r>
        <w:rPr>
          <w:rStyle w:val="white-space-pre"/>
          <w:rFonts w:ascii="Segoe UI" w:eastAsiaTheme="majorEastAsia" w:hAnsi="Segoe UI" w:cs="Segoe UI"/>
          <w:bdr w:val="none" w:sz="0" w:space="0" w:color="auto" w:frame="1"/>
        </w:rPr>
        <w:t xml:space="preserve"> </w:t>
      </w:r>
      <w:r>
        <w:rPr>
          <w:rStyle w:val="nfasis"/>
          <w:rFonts w:ascii="Segoe UI" w:eastAsiaTheme="majorEastAsia" w:hAnsi="Segoe UI" w:cs="Segoe UI"/>
          <w:bdr w:val="none" w:sz="0" w:space="0" w:color="auto" w:frame="1"/>
        </w:rPr>
        <w:t>“medios de producción”</w:t>
      </w:r>
      <w:r>
        <w:rPr>
          <w:rStyle w:val="white-space-pre"/>
          <w:rFonts w:ascii="Segoe UI" w:eastAsiaTheme="majorEastAsia" w:hAnsi="Segoe UI" w:cs="Segoe UI"/>
          <w:bdr w:val="none" w:sz="0" w:space="0" w:color="auto" w:frame="1"/>
        </w:rPr>
        <w:t xml:space="preserve"> </w:t>
      </w:r>
      <w:r>
        <w:rPr>
          <w:rFonts w:ascii="Segoe UI" w:hAnsi="Segoe UI" w:cs="Segoe UI"/>
        </w:rPr>
        <w:t>y</w:t>
      </w:r>
      <w:r>
        <w:rPr>
          <w:rStyle w:val="white-space-pre"/>
          <w:rFonts w:ascii="Segoe UI" w:eastAsiaTheme="majorEastAsia" w:hAnsi="Segoe UI" w:cs="Segoe UI"/>
          <w:bdr w:val="none" w:sz="0" w:space="0" w:color="auto" w:frame="1"/>
        </w:rPr>
        <w:t xml:space="preserve"> </w:t>
      </w:r>
      <w:r>
        <w:rPr>
          <w:rStyle w:val="nfasis"/>
          <w:rFonts w:ascii="Segoe UI" w:eastAsiaTheme="majorEastAsia" w:hAnsi="Segoe UI" w:cs="Segoe UI"/>
          <w:bdr w:val="none" w:sz="0" w:space="0" w:color="auto" w:frame="1"/>
        </w:rPr>
        <w:t>“activos principales”</w:t>
      </w:r>
      <w:r>
        <w:rPr>
          <w:rStyle w:val="white-space-pre"/>
          <w:rFonts w:ascii="Segoe UI" w:eastAsiaTheme="majorEastAsia" w:hAnsi="Segoe UI" w:cs="Segoe UI"/>
          <w:bdr w:val="none" w:sz="0" w:space="0" w:color="auto" w:frame="1"/>
        </w:rPr>
        <w:t xml:space="preserve"> </w:t>
      </w:r>
      <w:r>
        <w:rPr>
          <w:rFonts w:ascii="Segoe UI" w:hAnsi="Segoe UI" w:cs="Segoe UI"/>
        </w:rPr>
        <w:t>no son sinónimas ya que la titularidad de la capacitación profesional nunca es ni puede ser titularidad de la sociedad sino del propio profesional. Es, para entendernos, innata a la persona natural y, como tal, personal e intransferible. Difícilmente pues se puede entender que la expresión</w:t>
      </w:r>
      <w:r>
        <w:rPr>
          <w:rStyle w:val="white-space-pre"/>
          <w:rFonts w:ascii="Segoe UI" w:eastAsiaTheme="majorEastAsia" w:hAnsi="Segoe UI" w:cs="Segoe UI"/>
          <w:bdr w:val="none" w:sz="0" w:space="0" w:color="auto" w:frame="1"/>
        </w:rPr>
        <w:t xml:space="preserve"> </w:t>
      </w:r>
      <w:r>
        <w:rPr>
          <w:rStyle w:val="nfasis"/>
          <w:rFonts w:ascii="Segoe UI" w:eastAsiaTheme="majorEastAsia" w:hAnsi="Segoe UI" w:cs="Segoe UI"/>
          <w:b/>
          <w:bCs/>
          <w:bdr w:val="none" w:sz="0" w:space="0" w:color="auto" w:frame="1"/>
        </w:rPr>
        <w:t>“</w:t>
      </w:r>
      <w:r>
        <w:rPr>
          <w:rStyle w:val="nfasis"/>
          <w:rFonts w:ascii="Segoe UI" w:eastAsiaTheme="majorEastAsia" w:hAnsi="Segoe UI" w:cs="Segoe UI"/>
          <w:bdr w:val="none" w:sz="0" w:space="0" w:color="auto" w:frame="1"/>
        </w:rPr>
        <w:t>titularidad o (…) derecho de uso de los activos principales</w:t>
      </w:r>
      <w:r>
        <w:rPr>
          <w:rStyle w:val="nfasis"/>
          <w:rFonts w:ascii="Segoe UI" w:eastAsiaTheme="majorEastAsia" w:hAnsi="Segoe UI" w:cs="Segoe UI"/>
          <w:b/>
          <w:bCs/>
          <w:bdr w:val="none" w:sz="0" w:space="0" w:color="auto" w:frame="1"/>
        </w:rPr>
        <w:t>”</w:t>
      </w:r>
      <w:r>
        <w:rPr>
          <w:rStyle w:val="white-space-pre"/>
          <w:rFonts w:ascii="Segoe UI" w:eastAsiaTheme="majorEastAsia" w:hAnsi="Segoe UI" w:cs="Segoe UI"/>
          <w:i/>
          <w:iCs/>
          <w:bdr w:val="none" w:sz="0" w:space="0" w:color="auto" w:frame="1"/>
        </w:rPr>
        <w:t xml:space="preserve"> </w:t>
      </w:r>
      <w:r>
        <w:rPr>
          <w:rFonts w:ascii="Segoe UI" w:hAnsi="Segoe UI" w:cs="Segoe UI"/>
        </w:rPr>
        <w:t>incluye tal capacitación. Pero de ser así, se abre sin duda una brecha para interpretar que en el caso de sociedades profesionales esta puede ser relevante, por ejemplo, cuanto el capital humano de naturaleza profesional reside exclusivamente en el socio. Y de ser así, hay que reconocer que la redacción de la Resolución que comentamos no es muy afortunada y poco aporta en aras a la necesaria seguridad jurídica. Pretende, y lo consigue, un complicado equilibrio entre las resoluciones anteriores y la Nota 1/12, equilibrio, eso sí, en detrimento de la seguridad jurídica; equilibrio que se puede entender como</w:t>
      </w:r>
      <w:r>
        <w:rPr>
          <w:rStyle w:val="white-space-pre"/>
          <w:rFonts w:ascii="Segoe UI" w:eastAsiaTheme="majorEastAsia" w:hAnsi="Segoe UI" w:cs="Segoe UI"/>
          <w:bdr w:val="none" w:sz="0" w:space="0" w:color="auto" w:frame="1"/>
        </w:rPr>
        <w:t xml:space="preserve"> </w:t>
      </w:r>
      <w:r>
        <w:rPr>
          <w:rStyle w:val="nfasis"/>
          <w:rFonts w:ascii="Segoe UI" w:eastAsiaTheme="majorEastAsia" w:hAnsi="Segoe UI" w:cs="Segoe UI"/>
          <w:bdr w:val="none" w:sz="0" w:space="0" w:color="auto" w:frame="1"/>
        </w:rPr>
        <w:t>“flexibilidad”,</w:t>
      </w:r>
      <w:r>
        <w:rPr>
          <w:rStyle w:val="white-space-pre"/>
          <w:rFonts w:ascii="Segoe UI" w:eastAsiaTheme="majorEastAsia" w:hAnsi="Segoe UI" w:cs="Segoe UI"/>
          <w:bdr w:val="none" w:sz="0" w:space="0" w:color="auto" w:frame="1"/>
        </w:rPr>
        <w:t xml:space="preserve"> </w:t>
      </w:r>
      <w:r>
        <w:rPr>
          <w:rFonts w:ascii="Segoe UI" w:hAnsi="Segoe UI" w:cs="Segoe UI"/>
        </w:rPr>
        <w:t>cierto, pero en detrimento, insistimos, de la seguridad jurídica y con un amplio margen a la conflictividad en lo que a su interpretación se refiere. En cualquier caso, esa no es ni puede ser la interpretación adecuada, máxime cuando la DGT concluye que</w:t>
      </w:r>
      <w:r>
        <w:rPr>
          <w:rStyle w:val="white-space-pre"/>
          <w:rFonts w:ascii="Segoe UI" w:eastAsiaTheme="majorEastAsia" w:hAnsi="Segoe UI" w:cs="Segoe UI"/>
          <w:bdr w:val="none" w:sz="0" w:space="0" w:color="auto" w:frame="1"/>
        </w:rPr>
        <w:t xml:space="preserve"> </w:t>
      </w:r>
      <w:r>
        <w:rPr>
          <w:rStyle w:val="nfasis"/>
          <w:rFonts w:ascii="Segoe UI" w:eastAsiaTheme="majorEastAsia" w:hAnsi="Segoe UI" w:cs="Segoe UI"/>
          <w:bdr w:val="none" w:sz="0" w:space="0" w:color="auto" w:frame="1"/>
        </w:rPr>
        <w:t>“por tanto en caso de que la titularidad o el derecho de uso de los activos principales no correspondan a la sociedad, habrá que analizar cada caso concreto y tener en cuenta todas las circunstancias concurrentes para determinar si existe o no ejercicio independiente de una actividad económica</w:t>
      </w:r>
      <w:r>
        <w:rPr>
          <w:rFonts w:ascii="Segoe UI" w:hAnsi="Segoe UI" w:cs="Segoe UI"/>
        </w:rPr>
        <w:t>”, afirmación que excluye por naturaleza la capacitación profesional como activo principal y que exige interpretar que la expresión</w:t>
      </w:r>
      <w:r>
        <w:rPr>
          <w:rStyle w:val="white-space-pre"/>
          <w:rFonts w:ascii="Segoe UI" w:eastAsiaTheme="majorEastAsia" w:hAnsi="Segoe UI" w:cs="Segoe UI"/>
          <w:bdr w:val="none" w:sz="0" w:space="0" w:color="auto" w:frame="1"/>
        </w:rPr>
        <w:t xml:space="preserve"> </w:t>
      </w:r>
      <w:r>
        <w:rPr>
          <w:rStyle w:val="nfasis"/>
          <w:rFonts w:ascii="Segoe UI" w:eastAsiaTheme="majorEastAsia" w:hAnsi="Segoe UI" w:cs="Segoe UI"/>
          <w:bdr w:val="none" w:sz="0" w:space="0" w:color="auto" w:frame="1"/>
        </w:rPr>
        <w:t>“activos principales”</w:t>
      </w:r>
      <w:r>
        <w:rPr>
          <w:rStyle w:val="white-space-pre"/>
          <w:rFonts w:ascii="Segoe UI" w:eastAsiaTheme="majorEastAsia" w:hAnsi="Segoe UI" w:cs="Segoe UI"/>
          <w:bdr w:val="none" w:sz="0" w:space="0" w:color="auto" w:frame="1"/>
        </w:rPr>
        <w:t xml:space="preserve"> </w:t>
      </w:r>
      <w:r>
        <w:rPr>
          <w:rFonts w:ascii="Segoe UI" w:hAnsi="Segoe UI" w:cs="Segoe UI"/>
        </w:rPr>
        <w:t>es sinónima a la de</w:t>
      </w:r>
      <w:r>
        <w:rPr>
          <w:rStyle w:val="white-space-pre"/>
          <w:rFonts w:ascii="Segoe UI" w:eastAsiaTheme="majorEastAsia" w:hAnsi="Segoe UI" w:cs="Segoe UI"/>
          <w:bdr w:val="none" w:sz="0" w:space="0" w:color="auto" w:frame="1"/>
        </w:rPr>
        <w:t xml:space="preserve"> </w:t>
      </w:r>
      <w:r>
        <w:rPr>
          <w:rStyle w:val="nfasis"/>
          <w:rFonts w:ascii="Segoe UI" w:eastAsiaTheme="majorEastAsia" w:hAnsi="Segoe UI" w:cs="Segoe UI"/>
          <w:bdr w:val="none" w:sz="0" w:space="0" w:color="auto" w:frame="1"/>
        </w:rPr>
        <w:t>“medios de producción”</w:t>
      </w:r>
      <w:r>
        <w:rPr>
          <w:rFonts w:ascii="Segoe UI" w:hAnsi="Segoe UI" w:cs="Segoe UI"/>
        </w:rPr>
        <w:t xml:space="preserve">. Es cierto que el </w:t>
      </w:r>
      <w:r>
        <w:rPr>
          <w:rFonts w:ascii="Segoe UI" w:hAnsi="Segoe UI" w:cs="Segoe UI"/>
        </w:rPr>
        <w:lastRenderedPageBreak/>
        <w:t>art. 5 de la LIVA se refiere a los</w:t>
      </w:r>
      <w:r>
        <w:rPr>
          <w:rStyle w:val="white-space-pre"/>
          <w:rFonts w:ascii="Segoe UI" w:eastAsiaTheme="majorEastAsia" w:hAnsi="Segoe UI" w:cs="Segoe UI"/>
          <w:bdr w:val="none" w:sz="0" w:space="0" w:color="auto" w:frame="1"/>
        </w:rPr>
        <w:t xml:space="preserve"> </w:t>
      </w:r>
      <w:r>
        <w:rPr>
          <w:rStyle w:val="nfasis"/>
          <w:rFonts w:ascii="Segoe UI" w:eastAsiaTheme="majorEastAsia" w:hAnsi="Segoe UI" w:cs="Segoe UI"/>
          <w:bdr w:val="none" w:sz="0" w:space="0" w:color="auto" w:frame="1"/>
        </w:rPr>
        <w:t>“factores de producción materiales y humanos”</w:t>
      </w:r>
      <w:r>
        <w:rPr>
          <w:rStyle w:val="white-space-pre"/>
          <w:rFonts w:ascii="Segoe UI" w:eastAsiaTheme="majorEastAsia" w:hAnsi="Segoe UI" w:cs="Segoe UI"/>
          <w:bdr w:val="none" w:sz="0" w:space="0" w:color="auto" w:frame="1"/>
        </w:rPr>
        <w:t xml:space="preserve"> </w:t>
      </w:r>
      <w:r>
        <w:rPr>
          <w:rFonts w:ascii="Segoe UI" w:hAnsi="Segoe UI" w:cs="Segoe UI"/>
        </w:rPr>
        <w:t>y que el TJCE, en su Sentencia de 25 de julio de 1991, Asunto C-202/90, al referirse a los medios de producción, habla también del personal, equipo y material necesario. Y en este sentido, se puede afirmar que la expresión</w:t>
      </w:r>
      <w:r>
        <w:rPr>
          <w:rStyle w:val="white-space-pre"/>
          <w:rFonts w:ascii="Segoe UI" w:eastAsiaTheme="majorEastAsia" w:hAnsi="Segoe UI" w:cs="Segoe UI"/>
          <w:bdr w:val="none" w:sz="0" w:space="0" w:color="auto" w:frame="1"/>
        </w:rPr>
        <w:t xml:space="preserve"> </w:t>
      </w:r>
      <w:r>
        <w:rPr>
          <w:rStyle w:val="nfasis"/>
          <w:rFonts w:ascii="Segoe UI" w:eastAsiaTheme="majorEastAsia" w:hAnsi="Segoe UI" w:cs="Segoe UI"/>
          <w:bdr w:val="none" w:sz="0" w:space="0" w:color="auto" w:frame="1"/>
        </w:rPr>
        <w:t>“medios de producción”</w:t>
      </w:r>
      <w:r>
        <w:rPr>
          <w:rStyle w:val="white-space-pre"/>
          <w:rFonts w:ascii="Segoe UI" w:eastAsiaTheme="majorEastAsia" w:hAnsi="Segoe UI" w:cs="Segoe UI"/>
          <w:bdr w:val="none" w:sz="0" w:space="0" w:color="auto" w:frame="1"/>
        </w:rPr>
        <w:t xml:space="preserve"> </w:t>
      </w:r>
      <w:r>
        <w:rPr>
          <w:rFonts w:ascii="Segoe UI" w:hAnsi="Segoe UI" w:cs="Segoe UI"/>
        </w:rPr>
        <w:t>incluye los recursos humanos mientras que la de</w:t>
      </w:r>
      <w:r>
        <w:rPr>
          <w:rStyle w:val="white-space-pre"/>
          <w:rFonts w:ascii="Segoe UI" w:eastAsiaTheme="majorEastAsia" w:hAnsi="Segoe UI" w:cs="Segoe UI"/>
          <w:bdr w:val="none" w:sz="0" w:space="0" w:color="auto" w:frame="1"/>
        </w:rPr>
        <w:t xml:space="preserve"> </w:t>
      </w:r>
      <w:r>
        <w:rPr>
          <w:rStyle w:val="nfasis"/>
          <w:rFonts w:ascii="Segoe UI" w:eastAsiaTheme="majorEastAsia" w:hAnsi="Segoe UI" w:cs="Segoe UI"/>
          <w:bdr w:val="none" w:sz="0" w:space="0" w:color="auto" w:frame="1"/>
        </w:rPr>
        <w:t>“activos principales”</w:t>
      </w:r>
      <w:r>
        <w:rPr>
          <w:rStyle w:val="white-space-pre"/>
          <w:rFonts w:ascii="Segoe UI" w:eastAsiaTheme="majorEastAsia" w:hAnsi="Segoe UI" w:cs="Segoe UI"/>
          <w:bdr w:val="none" w:sz="0" w:space="0" w:color="auto" w:frame="1"/>
        </w:rPr>
        <w:t xml:space="preserve"> </w:t>
      </w:r>
      <w:r>
        <w:rPr>
          <w:rFonts w:ascii="Segoe UI" w:hAnsi="Segoe UI" w:cs="Segoe UI"/>
        </w:rPr>
        <w:t>tan solo los elementos tangibles e intangibles. No obstante, también se puede entender que la expresión</w:t>
      </w:r>
      <w:r>
        <w:rPr>
          <w:rStyle w:val="white-space-pre"/>
          <w:rFonts w:ascii="Segoe UI" w:eastAsiaTheme="majorEastAsia" w:hAnsi="Segoe UI" w:cs="Segoe UI"/>
          <w:bdr w:val="none" w:sz="0" w:space="0" w:color="auto" w:frame="1"/>
        </w:rPr>
        <w:t xml:space="preserve"> </w:t>
      </w:r>
      <w:r>
        <w:rPr>
          <w:rStyle w:val="nfasis"/>
          <w:rFonts w:ascii="Segoe UI" w:eastAsiaTheme="majorEastAsia" w:hAnsi="Segoe UI" w:cs="Segoe UI"/>
          <w:bdr w:val="none" w:sz="0" w:space="0" w:color="auto" w:frame="1"/>
        </w:rPr>
        <w:t>“activos principales”</w:t>
      </w:r>
      <w:r>
        <w:rPr>
          <w:rStyle w:val="white-space-pre"/>
          <w:rFonts w:ascii="Segoe UI" w:eastAsiaTheme="majorEastAsia" w:hAnsi="Segoe UI" w:cs="Segoe UI"/>
          <w:bdr w:val="none" w:sz="0" w:space="0" w:color="auto" w:frame="1"/>
        </w:rPr>
        <w:t xml:space="preserve"> </w:t>
      </w:r>
      <w:r>
        <w:rPr>
          <w:rFonts w:ascii="Segoe UI" w:hAnsi="Segoe UI" w:cs="Segoe UI"/>
        </w:rPr>
        <w:t>incluye igualmente el capital humano. Sea como fuere, no se puede entender que una u otra incluyan la capacitación profesional. En cualquier caso, la introducción de expresiones nuevas no aporta luz, sino inseguridad jurídica, y se han de interpretar, también, en el contexto comunitario. La</w:t>
      </w:r>
      <w:r>
        <w:rPr>
          <w:rStyle w:val="white-space-pre"/>
          <w:rFonts w:ascii="Segoe UI" w:eastAsiaTheme="majorEastAsia" w:hAnsi="Segoe UI" w:cs="Segoe UI"/>
          <w:bdr w:val="none" w:sz="0" w:space="0" w:color="auto" w:frame="1"/>
        </w:rPr>
        <w:t xml:space="preserve"> </w:t>
      </w:r>
      <w:r>
        <w:rPr>
          <w:rStyle w:val="nfasis"/>
          <w:rFonts w:ascii="Segoe UI" w:eastAsiaTheme="majorEastAsia" w:hAnsi="Segoe UI" w:cs="Segoe UI"/>
          <w:bdr w:val="none" w:sz="0" w:space="0" w:color="auto" w:frame="1"/>
        </w:rPr>
        <w:t>“sombra”</w:t>
      </w:r>
      <w:r>
        <w:rPr>
          <w:rStyle w:val="white-space-pre"/>
          <w:rFonts w:ascii="Segoe UI" w:eastAsiaTheme="majorEastAsia" w:hAnsi="Segoe UI" w:cs="Segoe UI"/>
          <w:bdr w:val="none" w:sz="0" w:space="0" w:color="auto" w:frame="1"/>
        </w:rPr>
        <w:t xml:space="preserve"> </w:t>
      </w:r>
      <w:r>
        <w:rPr>
          <w:rFonts w:ascii="Segoe UI" w:hAnsi="Segoe UI" w:cs="Segoe UI"/>
        </w:rPr>
        <w:t xml:space="preserve">de la Nota 1/2012 parece sin duda planear sobre tan sutiles expresiones que ensombrecen la necesaria claridad a pesar de que pretendan una flexibilidad que puede sin embargo convertirse en conflictividad. Este, sin duda, es </w:t>
      </w:r>
      <w:proofErr w:type="gramStart"/>
      <w:r>
        <w:rPr>
          <w:rFonts w:ascii="Segoe UI" w:hAnsi="Segoe UI" w:cs="Segoe UI"/>
        </w:rPr>
        <w:t>un aspecto a precisar</w:t>
      </w:r>
      <w:proofErr w:type="gramEnd"/>
      <w:r>
        <w:rPr>
          <w:rFonts w:ascii="Segoe UI" w:hAnsi="Segoe UI" w:cs="Segoe UI"/>
        </w:rPr>
        <w:t xml:space="preserve"> en posteriores resoluciones.</w:t>
      </w:r>
    </w:p>
    <w:p w14:paraId="11CD1E11" w14:textId="77777777" w:rsidR="005A6646" w:rsidRDefault="005A6646" w:rsidP="005A6646">
      <w:pPr>
        <w:pStyle w:val="ember-view"/>
        <w:spacing w:before="0" w:beforeAutospacing="0" w:after="0" w:afterAutospacing="0"/>
        <w:textAlignment w:val="baseline"/>
        <w:rPr>
          <w:rFonts w:ascii="Segoe UI" w:hAnsi="Segoe UI" w:cs="Segoe UI"/>
        </w:rPr>
      </w:pPr>
      <w:r>
        <w:rPr>
          <w:rFonts w:ascii="Segoe UI" w:hAnsi="Segoe UI" w:cs="Segoe UI"/>
        </w:rPr>
        <w:t>En cualquier caso, la DGT omite en sus conclusiones el argumento esencial que la jurisprudencia comunitaria utiliza, en concreto, quien soporta el riesgo económico derivado del ejercicio de la actividad. Este, y no otro, es el elemento determinante. Tanto es así, que en el resumen jurisprudencial que la DGT hace insiste reiteradamente en el mismo. Así, por ejemplo, y con relación a la Sentencia del TJCE de 25 de julio de 1991, Asunto C-202/90, señala que</w:t>
      </w:r>
      <w:r>
        <w:rPr>
          <w:rStyle w:val="white-space-pre"/>
          <w:rFonts w:ascii="Segoe UI" w:eastAsiaTheme="majorEastAsia" w:hAnsi="Segoe UI" w:cs="Segoe UI"/>
          <w:bdr w:val="none" w:sz="0" w:space="0" w:color="auto" w:frame="1"/>
        </w:rPr>
        <w:t xml:space="preserve"> </w:t>
      </w:r>
      <w:r>
        <w:rPr>
          <w:rStyle w:val="nfasis"/>
          <w:rFonts w:ascii="Segoe UI" w:eastAsiaTheme="majorEastAsia" w:hAnsi="Segoe UI" w:cs="Segoe UI"/>
          <w:bdr w:val="none" w:sz="0" w:space="0" w:color="auto" w:frame="1"/>
        </w:rPr>
        <w:t>“los hechos decisivos (…) son que los recaudadores municipales soportan el riesgo económico de su actividad, en la medida en que el beneficio que obtienen trae causa no sólo del premio de cobranza que le abona el Ayuntamiento (…) en función de la recaudación efectuada, sino también de los gastos en que incurren por el empleo de recursos humanos y de capital afectos a su actividad, así como que los medios de producción (personal, equipo, material necesario) para realizar la actividad son propios, restando peso o dejando en un plano más residual la posible responsabilidad derivada de la actividad, que parece recae en el Ayuntamiento”</w:t>
      </w:r>
      <w:r>
        <w:rPr>
          <w:rFonts w:ascii="Segoe UI" w:hAnsi="Segoe UI" w:cs="Segoe UI"/>
        </w:rPr>
        <w:t xml:space="preserve">; circunstancia que reitera al analizar la Sentencia Van </w:t>
      </w:r>
      <w:proofErr w:type="spellStart"/>
      <w:r>
        <w:rPr>
          <w:rFonts w:ascii="Segoe UI" w:hAnsi="Segoe UI" w:cs="Segoe UI"/>
        </w:rPr>
        <w:t>der</w:t>
      </w:r>
      <w:proofErr w:type="spellEnd"/>
      <w:r>
        <w:rPr>
          <w:rFonts w:ascii="Segoe UI" w:hAnsi="Segoe UI" w:cs="Segoe UI"/>
        </w:rPr>
        <w:t xml:space="preserve"> </w:t>
      </w:r>
      <w:proofErr w:type="spellStart"/>
      <w:r>
        <w:rPr>
          <w:rFonts w:ascii="Segoe UI" w:hAnsi="Segoe UI" w:cs="Segoe UI"/>
        </w:rPr>
        <w:t>Steen</w:t>
      </w:r>
      <w:proofErr w:type="spellEnd"/>
      <w:r>
        <w:rPr>
          <w:rFonts w:ascii="Segoe UI" w:hAnsi="Segoe UI" w:cs="Segoe UI"/>
        </w:rPr>
        <w:t>. Sin embargo, la DGT no incorpora ni menciona expresamente este importante y decisivo criterio entre sus conclusiones salvo por remisión a lo señalado al referirse a las condiciones retributivas en las que se apunta que</w:t>
      </w:r>
      <w:r>
        <w:rPr>
          <w:rStyle w:val="white-space-pre"/>
          <w:rFonts w:ascii="Segoe UI" w:eastAsiaTheme="majorEastAsia" w:hAnsi="Segoe UI" w:cs="Segoe UI"/>
          <w:bdr w:val="none" w:sz="0" w:space="0" w:color="auto" w:frame="1"/>
        </w:rPr>
        <w:t xml:space="preserve"> </w:t>
      </w:r>
      <w:r>
        <w:rPr>
          <w:rStyle w:val="nfasis"/>
          <w:rFonts w:ascii="Segoe UI" w:eastAsiaTheme="majorEastAsia" w:hAnsi="Segoe UI" w:cs="Segoe UI"/>
          <w:bdr w:val="none" w:sz="0" w:space="0" w:color="auto" w:frame="1"/>
        </w:rPr>
        <w:t>“por lo que se refiere a las condiciones retributivas, habrá que estar a si el socio soporta el riesgo económico de la actividad a efectos de afirmar su independencia”</w:t>
      </w:r>
      <w:r>
        <w:rPr>
          <w:rFonts w:ascii="Segoe UI" w:hAnsi="Segoe UI" w:cs="Segoe UI"/>
        </w:rPr>
        <w:t>. Ocurre, no obstante, que el concepto de riesgo económico que la DGT describe no coincide con el que la jurisprudencia comunitaria utiliza. En efecto; mientras que para la DGT</w:t>
      </w:r>
      <w:r>
        <w:rPr>
          <w:rStyle w:val="white-space-pre"/>
          <w:rFonts w:ascii="Segoe UI" w:eastAsiaTheme="majorEastAsia" w:hAnsi="Segoe UI" w:cs="Segoe UI"/>
          <w:bdr w:val="none" w:sz="0" w:space="0" w:color="auto" w:frame="1"/>
        </w:rPr>
        <w:t xml:space="preserve"> </w:t>
      </w:r>
      <w:r>
        <w:rPr>
          <w:rStyle w:val="nfasis"/>
          <w:rFonts w:ascii="Segoe UI" w:eastAsiaTheme="majorEastAsia" w:hAnsi="Segoe UI" w:cs="Segoe UI"/>
          <w:bdr w:val="none" w:sz="0" w:space="0" w:color="auto" w:frame="1"/>
        </w:rPr>
        <w:t>“se puede presumir que el riesgo económico recae en el socio cuando su contraprestación se determine en función de un porcentaje de los beneficios de la entidad o en función de las prestaciones efectivamente realizadas por el mismo o de las cantidades facturadas a los clientes, bien en su importe total o en una parte de la misma que sea significativa”</w:t>
      </w:r>
      <w:r>
        <w:rPr>
          <w:rFonts w:ascii="Segoe UI" w:hAnsi="Segoe UI" w:cs="Segoe UI"/>
        </w:rPr>
        <w:t>, para el TJCE existe riesgo económico</w:t>
      </w:r>
      <w:r>
        <w:rPr>
          <w:rStyle w:val="white-space-pre"/>
          <w:rFonts w:ascii="Segoe UI" w:eastAsiaTheme="majorEastAsia" w:hAnsi="Segoe UI" w:cs="Segoe UI"/>
          <w:bdr w:val="none" w:sz="0" w:space="0" w:color="auto" w:frame="1"/>
        </w:rPr>
        <w:t xml:space="preserve"> </w:t>
      </w:r>
      <w:r>
        <w:rPr>
          <w:rStyle w:val="nfasis"/>
          <w:rFonts w:ascii="Segoe UI" w:eastAsiaTheme="majorEastAsia" w:hAnsi="Segoe UI" w:cs="Segoe UI"/>
          <w:bdr w:val="none" w:sz="0" w:space="0" w:color="auto" w:frame="1"/>
        </w:rPr>
        <w:t xml:space="preserve">“en la medida que en que el beneficio que obtienen trae causa no sólo (en los </w:t>
      </w:r>
      <w:r>
        <w:rPr>
          <w:rStyle w:val="nfasis"/>
          <w:rFonts w:ascii="Segoe UI" w:eastAsiaTheme="majorEastAsia" w:hAnsi="Segoe UI" w:cs="Segoe UI"/>
          <w:bdr w:val="none" w:sz="0" w:space="0" w:color="auto" w:frame="1"/>
        </w:rPr>
        <w:lastRenderedPageBreak/>
        <w:t>ingresos), sino también (en) los gastos en que incurren por el empleo de recursos humanos y de capital afectos a su actividad, así como que los medios de producción (personal, equipo, material necesario) para realizar la actividad son propios”</w:t>
      </w:r>
      <w:r>
        <w:rPr>
          <w:rFonts w:ascii="Segoe UI" w:hAnsi="Segoe UI" w:cs="Segoe UI"/>
        </w:rPr>
        <w:t>. Y aunque es cierto que</w:t>
      </w:r>
      <w:r>
        <w:rPr>
          <w:rStyle w:val="white-space-pre"/>
          <w:rFonts w:ascii="Segoe UI" w:eastAsiaTheme="majorEastAsia" w:hAnsi="Segoe UI" w:cs="Segoe UI"/>
          <w:bdr w:val="none" w:sz="0" w:space="0" w:color="auto" w:frame="1"/>
        </w:rPr>
        <w:t xml:space="preserve"> </w:t>
      </w:r>
      <w:r>
        <w:rPr>
          <w:rStyle w:val="nfasis"/>
          <w:rFonts w:ascii="Segoe UI" w:eastAsiaTheme="majorEastAsia" w:hAnsi="Segoe UI" w:cs="Segoe UI"/>
          <w:bdr w:val="none" w:sz="0" w:space="0" w:color="auto" w:frame="1"/>
        </w:rPr>
        <w:t>“hay riesgo económico en el sentido de que el riesgo de la actividad recae sobre el socio que soporta el resultado de la misma, en la medida en que el éxito o fracaso determina de forma directa su retribución, situación que no se suele dar en el ámbito de una relación laboral en la que, con independencia de los resultados de la sociedad o la falta de actividad de la misma, se devenga la correspondiente contraprestación para el trabajador”</w:t>
      </w:r>
      <w:r>
        <w:rPr>
          <w:rFonts w:ascii="Segoe UI" w:hAnsi="Segoe UI" w:cs="Segoe UI"/>
        </w:rPr>
        <w:t>, no hay que olvidar que en la jurisprudencia comunitaria el concepto de</w:t>
      </w:r>
      <w:r>
        <w:rPr>
          <w:rStyle w:val="white-space-pre"/>
          <w:rFonts w:ascii="Segoe UI" w:eastAsiaTheme="majorEastAsia" w:hAnsi="Segoe UI" w:cs="Segoe UI"/>
          <w:bdr w:val="none" w:sz="0" w:space="0" w:color="auto" w:frame="1"/>
        </w:rPr>
        <w:t xml:space="preserve"> </w:t>
      </w:r>
      <w:r>
        <w:rPr>
          <w:rStyle w:val="nfasis"/>
          <w:rFonts w:ascii="Segoe UI" w:eastAsiaTheme="majorEastAsia" w:hAnsi="Segoe UI" w:cs="Segoe UI"/>
          <w:bdr w:val="none" w:sz="0" w:space="0" w:color="auto" w:frame="1"/>
        </w:rPr>
        <w:t>“riesgo económico”</w:t>
      </w:r>
      <w:r>
        <w:rPr>
          <w:rStyle w:val="white-space-pre"/>
          <w:rFonts w:ascii="Segoe UI" w:eastAsiaTheme="majorEastAsia" w:hAnsi="Segoe UI" w:cs="Segoe UI"/>
          <w:bdr w:val="none" w:sz="0" w:space="0" w:color="auto" w:frame="1"/>
        </w:rPr>
        <w:t xml:space="preserve"> </w:t>
      </w:r>
      <w:r>
        <w:rPr>
          <w:rFonts w:ascii="Segoe UI" w:hAnsi="Segoe UI" w:cs="Segoe UI"/>
        </w:rPr>
        <w:t>se construye en torno a la inevitable correlación entre ingresos y gastos o, mejor, en la medida que la remuneración que se percibe esté en función no tan solo de los ingresos sino en los gastos en los que se incurre. Y en este sentido, es obvio que el hecho de que la retribución que el socio percibe esté vinculada al resultado de la actividad, es un indicio de que este soporta el riesgo económico de la actividad. Por el contrario, si dicha retribución no está vinculada al resultado de la actividad, es un indicio de que el socio no soporta el riesgo económico inherente a la actividad que la sociedad ejerce. Se dirá, y es cierto, que el planteamiento de la DGT conduce a idéntico resultado. Pero coincidiremos en que el planteamiento no es exactamente el mismo.</w:t>
      </w:r>
      <w:r>
        <w:rPr>
          <w:rStyle w:val="white-space-pre"/>
          <w:rFonts w:ascii="Segoe UI" w:eastAsiaTheme="majorEastAsia" w:hAnsi="Segoe UI" w:cs="Segoe UI"/>
          <w:bdr w:val="none" w:sz="0" w:space="0" w:color="auto" w:frame="1"/>
        </w:rPr>
        <w:t xml:space="preserve"> </w:t>
      </w:r>
    </w:p>
    <w:p w14:paraId="05073BE9" w14:textId="77777777" w:rsidR="005A6646" w:rsidRDefault="005A6646" w:rsidP="005A6646">
      <w:pPr>
        <w:pStyle w:val="ember-view"/>
        <w:spacing w:before="0" w:beforeAutospacing="0" w:after="0" w:afterAutospacing="0"/>
        <w:textAlignment w:val="baseline"/>
        <w:rPr>
          <w:rFonts w:ascii="Segoe UI" w:hAnsi="Segoe UI" w:cs="Segoe UI"/>
        </w:rPr>
      </w:pPr>
      <w:r>
        <w:rPr>
          <w:rFonts w:ascii="Segoe UI" w:hAnsi="Segoe UI" w:cs="Segoe UI"/>
        </w:rPr>
        <w:t>No obstante, y en eso sí que hay que reconocer un importante avance, la DGT no menciona ya el porcentaje de participación del socio como factor relevante ni se remite a las notas de ajenidad y dependencia como determinantes de la concurrencia de lazos de subordinación. Tampoco cita expresamente la capacitación profesional, como medio de producción por excelencia del socio profesional, aunque esta parece estar latente. En cualquier caso, la Resolución de la DGT es un avance importante con relación a resoluciones anteriores y una positiva aproximación a los criterios comunitarios. Quedan por superar los</w:t>
      </w:r>
      <w:r>
        <w:rPr>
          <w:rStyle w:val="white-space-pre"/>
          <w:rFonts w:ascii="Segoe UI" w:eastAsiaTheme="majorEastAsia" w:hAnsi="Segoe UI" w:cs="Segoe UI"/>
          <w:bdr w:val="none" w:sz="0" w:space="0" w:color="auto" w:frame="1"/>
        </w:rPr>
        <w:t xml:space="preserve"> </w:t>
      </w:r>
      <w:r>
        <w:rPr>
          <w:rStyle w:val="nfasis"/>
          <w:rFonts w:ascii="Segoe UI" w:eastAsiaTheme="majorEastAsia" w:hAnsi="Segoe UI" w:cs="Segoe UI"/>
          <w:bdr w:val="none" w:sz="0" w:space="0" w:color="auto" w:frame="1"/>
        </w:rPr>
        <w:t>“dejes”</w:t>
      </w:r>
      <w:r>
        <w:rPr>
          <w:rStyle w:val="white-space-pre"/>
          <w:rFonts w:ascii="Segoe UI" w:eastAsiaTheme="majorEastAsia" w:hAnsi="Segoe UI" w:cs="Segoe UI"/>
          <w:bdr w:val="none" w:sz="0" w:space="0" w:color="auto" w:frame="1"/>
        </w:rPr>
        <w:t xml:space="preserve"> </w:t>
      </w:r>
      <w:r>
        <w:rPr>
          <w:rFonts w:ascii="Segoe UI" w:hAnsi="Segoe UI" w:cs="Segoe UI"/>
        </w:rPr>
        <w:t>propios del derecho laboral que son tan solo de utilidad para determinar uno de los supuestos de existencia de lazos de subordinación, pero no el único. No es pues correcto afirmar que</w:t>
      </w:r>
      <w:r>
        <w:rPr>
          <w:rStyle w:val="white-space-pre"/>
          <w:rFonts w:ascii="Segoe UI" w:eastAsiaTheme="majorEastAsia" w:hAnsi="Segoe UI" w:cs="Segoe UI"/>
          <w:bdr w:val="none" w:sz="0" w:space="0" w:color="auto" w:frame="1"/>
        </w:rPr>
        <w:t xml:space="preserve"> </w:t>
      </w:r>
      <w:r>
        <w:rPr>
          <w:rStyle w:val="nfasis"/>
          <w:rFonts w:ascii="Segoe UI" w:eastAsiaTheme="majorEastAsia" w:hAnsi="Segoe UI" w:cs="Segoe UI"/>
          <w:bdr w:val="none" w:sz="0" w:space="0" w:color="auto" w:frame="1"/>
        </w:rPr>
        <w:t>“la referida relación se debe calificar como laboral, si en función de las condiciones acordadas entre el socio y la sociedad resulta que el profesional queda sometido a los criterios organizativos de aquélla, no percibe una contraprestación económica significativa ligada a los resultados de su actividad (en los términos mencionados en el apartado cuarto anterior) y es la sociedad la que responde frente a terceros en los términos anteriormente expuestos”</w:t>
      </w:r>
      <w:r>
        <w:rPr>
          <w:rFonts w:ascii="Segoe UI" w:hAnsi="Segoe UI" w:cs="Segoe UI"/>
        </w:rPr>
        <w:t>. Y no es correcto tampoco afirmar que</w:t>
      </w:r>
      <w:r>
        <w:rPr>
          <w:rStyle w:val="white-space-pre"/>
          <w:rFonts w:ascii="Segoe UI" w:eastAsiaTheme="majorEastAsia" w:hAnsi="Segoe UI" w:cs="Segoe UI"/>
          <w:bdr w:val="none" w:sz="0" w:space="0" w:color="auto" w:frame="1"/>
        </w:rPr>
        <w:t xml:space="preserve"> </w:t>
      </w:r>
      <w:r>
        <w:rPr>
          <w:rStyle w:val="nfasis"/>
          <w:rFonts w:ascii="Segoe UI" w:eastAsiaTheme="majorEastAsia" w:hAnsi="Segoe UI" w:cs="Segoe UI"/>
          <w:bdr w:val="none" w:sz="0" w:space="0" w:color="auto" w:frame="1"/>
        </w:rPr>
        <w:t>“la determinación de si estamos ante una relación de dependencia laboral o ante una actividad profesional en el ámbito del Impuesto sobre el Valor Añadido debe partir de un análisis caso por caso, sobre la base de los indicios que establece la jurisprudencia del Tribunal de Justicia de la Unión Europea”</w:t>
      </w:r>
      <w:r>
        <w:rPr>
          <w:rFonts w:ascii="Segoe UI" w:hAnsi="Segoe UI" w:cs="Segoe UI"/>
        </w:rPr>
        <w:t>. Y no es correcto,</w:t>
      </w:r>
      <w:r>
        <w:rPr>
          <w:rStyle w:val="white-space-pre"/>
          <w:rFonts w:ascii="Segoe UI" w:eastAsiaTheme="majorEastAsia" w:hAnsi="Segoe UI" w:cs="Segoe UI"/>
          <w:b/>
          <w:bCs/>
          <w:bdr w:val="none" w:sz="0" w:space="0" w:color="auto" w:frame="1"/>
        </w:rPr>
        <w:t xml:space="preserve"> </w:t>
      </w:r>
      <w:r>
        <w:rPr>
          <w:rFonts w:ascii="Segoe UI" w:hAnsi="Segoe UI" w:cs="Segoe UI"/>
        </w:rPr>
        <w:t xml:space="preserve">porque lo adecuado es afirmar que, en tales casos, existen lazos de subordinación que permiten concluir la concurrencia de la necesaria independencia como nota </w:t>
      </w:r>
      <w:r>
        <w:rPr>
          <w:rFonts w:ascii="Segoe UI" w:hAnsi="Segoe UI" w:cs="Segoe UI"/>
        </w:rPr>
        <w:lastRenderedPageBreak/>
        <w:t>definitoria de la existencia de una prestación de servicios sujeta al IVA. Y no es correcto, tampoco, porque en tales casos no necesariamente estamos ante una relación de carácter laboral.</w:t>
      </w:r>
    </w:p>
    <w:p w14:paraId="019202EF" w14:textId="77777777" w:rsidR="005A6646" w:rsidRDefault="005A6646" w:rsidP="005A6646">
      <w:pPr>
        <w:pStyle w:val="ember-view"/>
        <w:spacing w:before="0" w:beforeAutospacing="0" w:after="480" w:afterAutospacing="0"/>
        <w:textAlignment w:val="baseline"/>
        <w:rPr>
          <w:rFonts w:ascii="Segoe UI" w:hAnsi="Segoe UI" w:cs="Segoe UI"/>
        </w:rPr>
      </w:pPr>
      <w:r>
        <w:rPr>
          <w:rFonts w:ascii="Segoe UI" w:hAnsi="Segoe UI" w:cs="Segoe UI"/>
        </w:rPr>
        <w:t>Así mismo, se echa de menos una referencia a la Ley 2/2007. Es cierto, no obstante, que el concepto de sociedad profesional es más amplio que el recogido en la Ley 2/2007 y que es posible que a pesar de que trate de una sociedad a la que esta última es de aplicación, los servicios prestados por el socio estén sujetos al IVA en la medida de que su retribución esté vinculada al resultado de la actividad.</w:t>
      </w:r>
    </w:p>
    <w:p w14:paraId="59874185" w14:textId="77777777" w:rsidR="005A6646" w:rsidRDefault="005A6646" w:rsidP="005A6646">
      <w:pPr>
        <w:pStyle w:val="ember-view"/>
        <w:spacing w:before="0" w:beforeAutospacing="0" w:after="480" w:afterAutospacing="0"/>
        <w:textAlignment w:val="baseline"/>
        <w:rPr>
          <w:rFonts w:ascii="Segoe UI" w:hAnsi="Segoe UI" w:cs="Segoe UI"/>
        </w:rPr>
      </w:pPr>
      <w:r>
        <w:rPr>
          <w:rFonts w:ascii="Segoe UI" w:hAnsi="Segoe UI" w:cs="Segoe UI"/>
        </w:rPr>
        <w:t>Retomando de nuevo las conclusiones que la Resolución recoge, si la titularidad o el derecho de uso de los activos principales corresponden a la sociedad, la prestación de servicios que el socio realiza no está sujeta al IVA.</w:t>
      </w:r>
    </w:p>
    <w:p w14:paraId="34E97C16" w14:textId="77777777" w:rsidR="005A6646" w:rsidRDefault="005A6646" w:rsidP="005A6646">
      <w:pPr>
        <w:pStyle w:val="ember-view"/>
        <w:spacing w:before="0" w:beforeAutospacing="0" w:after="0" w:afterAutospacing="0"/>
        <w:textAlignment w:val="baseline"/>
        <w:rPr>
          <w:rFonts w:ascii="Segoe UI" w:hAnsi="Segoe UI" w:cs="Segoe UI"/>
        </w:rPr>
      </w:pPr>
      <w:r>
        <w:rPr>
          <w:rFonts w:ascii="Segoe UI" w:hAnsi="Segoe UI" w:cs="Segoe UI"/>
        </w:rPr>
        <w:t xml:space="preserve">Por el contrario, si la titularidad o el derecho de uso de los activos principales no </w:t>
      </w:r>
      <w:proofErr w:type="gramStart"/>
      <w:r>
        <w:rPr>
          <w:rFonts w:ascii="Segoe UI" w:hAnsi="Segoe UI" w:cs="Segoe UI"/>
        </w:rPr>
        <w:t>corresponden  a</w:t>
      </w:r>
      <w:proofErr w:type="gramEnd"/>
      <w:r>
        <w:rPr>
          <w:rFonts w:ascii="Segoe UI" w:hAnsi="Segoe UI" w:cs="Segoe UI"/>
        </w:rPr>
        <w:t xml:space="preserve"> la sociedad, hay que analizar cada caso concreto y tener en cuenta todas las circunstancias concurrentes para determinar si existe o no ejercicio independiente de una actividad económica, en concreto,</w:t>
      </w:r>
      <w:r>
        <w:rPr>
          <w:rStyle w:val="white-space-pre"/>
          <w:rFonts w:ascii="Segoe UI" w:eastAsiaTheme="majorEastAsia" w:hAnsi="Segoe UI" w:cs="Segoe UI"/>
          <w:bdr w:val="none" w:sz="0" w:space="0" w:color="auto" w:frame="1"/>
        </w:rPr>
        <w:t xml:space="preserve"> </w:t>
      </w:r>
      <w:r>
        <w:rPr>
          <w:rStyle w:val="nfasis"/>
          <w:rFonts w:ascii="Segoe UI" w:eastAsiaTheme="majorEastAsia" w:hAnsi="Segoe UI" w:cs="Segoe UI"/>
          <w:bdr w:val="none" w:sz="0" w:space="0" w:color="auto" w:frame="1"/>
        </w:rPr>
        <w:t>“las condiciones de trabajo, la remuneración y la responsabilidad”</w:t>
      </w:r>
      <w:r>
        <w:rPr>
          <w:rFonts w:ascii="Segoe UI" w:hAnsi="Segoe UI" w:cs="Segoe UI"/>
        </w:rPr>
        <w:t>.</w:t>
      </w:r>
    </w:p>
    <w:p w14:paraId="7C4A2517" w14:textId="77777777" w:rsidR="005A6646" w:rsidRDefault="005A6646" w:rsidP="005A6646">
      <w:pPr>
        <w:pStyle w:val="ember-view"/>
        <w:spacing w:before="0" w:beforeAutospacing="0" w:after="0" w:afterAutospacing="0"/>
        <w:textAlignment w:val="baseline"/>
        <w:rPr>
          <w:rFonts w:ascii="Segoe UI" w:hAnsi="Segoe UI" w:cs="Segoe UI"/>
        </w:rPr>
      </w:pPr>
      <w:r>
        <w:rPr>
          <w:rFonts w:ascii="Segoe UI" w:hAnsi="Segoe UI" w:cs="Segoe UI"/>
        </w:rPr>
        <w:t>Con relación a las condiciones laborales, la DGT afirma que</w:t>
      </w:r>
      <w:r>
        <w:rPr>
          <w:rStyle w:val="white-space-pre"/>
          <w:rFonts w:ascii="Segoe UI" w:eastAsiaTheme="majorEastAsia" w:hAnsi="Segoe UI" w:cs="Segoe UI"/>
          <w:bdr w:val="none" w:sz="0" w:space="0" w:color="auto" w:frame="1"/>
        </w:rPr>
        <w:t xml:space="preserve"> </w:t>
      </w:r>
      <w:r>
        <w:rPr>
          <w:rStyle w:val="nfasis"/>
          <w:rFonts w:ascii="Segoe UI" w:eastAsiaTheme="majorEastAsia" w:hAnsi="Segoe UI" w:cs="Segoe UI"/>
          <w:bdr w:val="none" w:sz="0" w:space="0" w:color="auto" w:frame="1"/>
        </w:rPr>
        <w:t>“debe entenderse que no existe subordinación cuando el socio se procura y organiza él mismo los medios personales y materiales necesarios para el ejercicio de la actividad”.</w:t>
      </w:r>
      <w:r>
        <w:rPr>
          <w:rStyle w:val="white-space-pre"/>
          <w:rFonts w:ascii="Segoe UI" w:eastAsiaTheme="majorEastAsia" w:hAnsi="Segoe UI" w:cs="Segoe UI"/>
          <w:bdr w:val="none" w:sz="0" w:space="0" w:color="auto" w:frame="1"/>
        </w:rPr>
        <w:t xml:space="preserve"> </w:t>
      </w:r>
      <w:r>
        <w:rPr>
          <w:rFonts w:ascii="Segoe UI" w:hAnsi="Segoe UI" w:cs="Segoe UI"/>
        </w:rPr>
        <w:t>Por tanto, prosigue,</w:t>
      </w:r>
      <w:r>
        <w:rPr>
          <w:rStyle w:val="white-space-pre"/>
          <w:rFonts w:ascii="Segoe UI" w:eastAsiaTheme="majorEastAsia" w:hAnsi="Segoe UI" w:cs="Segoe UI"/>
          <w:bdr w:val="none" w:sz="0" w:space="0" w:color="auto" w:frame="1"/>
        </w:rPr>
        <w:t xml:space="preserve"> </w:t>
      </w:r>
      <w:r>
        <w:rPr>
          <w:rStyle w:val="nfasis"/>
          <w:rFonts w:ascii="Segoe UI" w:eastAsiaTheme="majorEastAsia" w:hAnsi="Segoe UI" w:cs="Segoe UI"/>
          <w:bdr w:val="none" w:sz="0" w:space="0" w:color="auto" w:frame="1"/>
        </w:rPr>
        <w:t>“la sujeción al Impuesto sobre el Valor Añadido requiere la intervención del socio en el ejercicio de la actividad a través de la ordenación de medios propios. En la medida en que los medios principales a través de los cuales realice su actividad sean titularidad de la sociedad, cabe concluir la exclusión del socio del ámbito de aplicación del Impuesto”.</w:t>
      </w:r>
    </w:p>
    <w:p w14:paraId="437DE009" w14:textId="77777777" w:rsidR="005A6646" w:rsidRDefault="005A6646" w:rsidP="005A6646">
      <w:pPr>
        <w:pStyle w:val="ember-view"/>
        <w:spacing w:before="0" w:beforeAutospacing="0" w:after="0" w:afterAutospacing="0"/>
        <w:textAlignment w:val="baseline"/>
        <w:rPr>
          <w:rFonts w:ascii="Segoe UI" w:hAnsi="Segoe UI" w:cs="Segoe UI"/>
        </w:rPr>
      </w:pPr>
      <w:r>
        <w:rPr>
          <w:rFonts w:ascii="Segoe UI" w:hAnsi="Segoe UI" w:cs="Segoe UI"/>
        </w:rPr>
        <w:t>Excluido tal supuesto,</w:t>
      </w:r>
      <w:r>
        <w:rPr>
          <w:rStyle w:val="white-space-pre"/>
          <w:rFonts w:ascii="Segoe UI" w:eastAsiaTheme="majorEastAsia" w:hAnsi="Segoe UI" w:cs="Segoe UI"/>
          <w:bdr w:val="none" w:sz="0" w:space="0" w:color="auto" w:frame="1"/>
        </w:rPr>
        <w:t xml:space="preserve"> </w:t>
      </w:r>
      <w:r>
        <w:rPr>
          <w:rStyle w:val="nfasis"/>
          <w:rFonts w:ascii="Segoe UI" w:eastAsiaTheme="majorEastAsia" w:hAnsi="Segoe UI" w:cs="Segoe UI"/>
          <w:bdr w:val="none" w:sz="0" w:space="0" w:color="auto" w:frame="1"/>
        </w:rPr>
        <w:t>“otros indicios vendrían dados por la integración o no del socio en la estructura organizativa de la sociedad”,</w:t>
      </w:r>
      <w:r>
        <w:rPr>
          <w:rStyle w:val="white-space-pre"/>
          <w:rFonts w:ascii="Segoe UI" w:eastAsiaTheme="majorEastAsia" w:hAnsi="Segoe UI" w:cs="Segoe UI"/>
          <w:bdr w:val="none" w:sz="0" w:space="0" w:color="auto" w:frame="1"/>
        </w:rPr>
        <w:t xml:space="preserve"> </w:t>
      </w:r>
      <w:r>
        <w:rPr>
          <w:rFonts w:ascii="Segoe UI" w:hAnsi="Segoe UI" w:cs="Segoe UI"/>
        </w:rPr>
        <w:t>en concreto,</w:t>
      </w:r>
      <w:r>
        <w:rPr>
          <w:rStyle w:val="white-space-pre"/>
          <w:rFonts w:ascii="Segoe UI" w:eastAsiaTheme="majorEastAsia" w:hAnsi="Segoe UI" w:cs="Segoe UI"/>
          <w:bdr w:val="none" w:sz="0" w:space="0" w:color="auto" w:frame="1"/>
        </w:rPr>
        <w:t xml:space="preserve"> </w:t>
      </w:r>
      <w:r>
        <w:rPr>
          <w:rStyle w:val="nfasis"/>
          <w:rFonts w:ascii="Segoe UI" w:eastAsiaTheme="majorEastAsia" w:hAnsi="Segoe UI" w:cs="Segoe UI"/>
          <w:bdr w:val="none" w:sz="0" w:space="0" w:color="auto" w:frame="1"/>
        </w:rPr>
        <w:t>“si el socio forma parte de la organización concebida por la sociedad, lo que determinaría una suerte de subordinación, o si es libre de organizar su actividad mediante la elección de colaboradores, estructuras necesarias para el desarrollo de funciones y de horarios de trabajo y vacaciones”</w:t>
      </w:r>
      <w:r>
        <w:rPr>
          <w:rFonts w:ascii="Segoe UI" w:hAnsi="Segoe UI" w:cs="Segoe UI"/>
        </w:rPr>
        <w:t>.</w:t>
      </w:r>
    </w:p>
    <w:p w14:paraId="4F089CB3" w14:textId="77777777" w:rsidR="005A6646" w:rsidRDefault="005A6646" w:rsidP="005A6646">
      <w:pPr>
        <w:pStyle w:val="ember-view"/>
        <w:spacing w:before="0" w:beforeAutospacing="0" w:after="0" w:afterAutospacing="0"/>
        <w:textAlignment w:val="baseline"/>
        <w:rPr>
          <w:rFonts w:ascii="Segoe UI" w:hAnsi="Segoe UI" w:cs="Segoe UI"/>
        </w:rPr>
      </w:pPr>
      <w:r>
        <w:rPr>
          <w:rFonts w:ascii="Segoe UI" w:hAnsi="Segoe UI" w:cs="Segoe UI"/>
        </w:rPr>
        <w:t>Por lo que se refiere a las condiciones retributivas,</w:t>
      </w:r>
      <w:r>
        <w:rPr>
          <w:rStyle w:val="white-space-pre"/>
          <w:rFonts w:ascii="Segoe UI" w:eastAsiaTheme="majorEastAsia" w:hAnsi="Segoe UI" w:cs="Segoe UI"/>
          <w:bdr w:val="none" w:sz="0" w:space="0" w:color="auto" w:frame="1"/>
        </w:rPr>
        <w:t xml:space="preserve"> </w:t>
      </w:r>
      <w:r>
        <w:rPr>
          <w:rStyle w:val="nfasis"/>
          <w:rFonts w:ascii="Segoe UI" w:eastAsiaTheme="majorEastAsia" w:hAnsi="Segoe UI" w:cs="Segoe UI"/>
          <w:bdr w:val="none" w:sz="0" w:space="0" w:color="auto" w:frame="1"/>
        </w:rPr>
        <w:t xml:space="preserve">“habrá que estar a si el socio soporta el riesgo económico de la actividad a efectos de afirmar su independencia. Se puede presumir que el riesgo económico recae en el socio cuando su contraprestación se determine en función de un porcentaje de los beneficios de la entidad o en función de las prestaciones efectivamente realizadas por el mismo o de las cantidades facturadas a los clientes, bien en su importe total o en una parte de </w:t>
      </w:r>
      <w:proofErr w:type="gramStart"/>
      <w:r>
        <w:rPr>
          <w:rStyle w:val="nfasis"/>
          <w:rFonts w:ascii="Segoe UI" w:eastAsiaTheme="majorEastAsia" w:hAnsi="Segoe UI" w:cs="Segoe UI"/>
          <w:bdr w:val="none" w:sz="0" w:space="0" w:color="auto" w:frame="1"/>
        </w:rPr>
        <w:t>la misma</w:t>
      </w:r>
      <w:proofErr w:type="gramEnd"/>
      <w:r>
        <w:rPr>
          <w:rStyle w:val="nfasis"/>
          <w:rFonts w:ascii="Segoe UI" w:eastAsiaTheme="majorEastAsia" w:hAnsi="Segoe UI" w:cs="Segoe UI"/>
          <w:bdr w:val="none" w:sz="0" w:space="0" w:color="auto" w:frame="1"/>
        </w:rPr>
        <w:t xml:space="preserve"> que sea significativa. En estos casos, hay riesgo económico en el sentido de que el riesgo de la actividad recae sobre el socio que soporta el resultado de </w:t>
      </w:r>
      <w:proofErr w:type="gramStart"/>
      <w:r>
        <w:rPr>
          <w:rStyle w:val="nfasis"/>
          <w:rFonts w:ascii="Segoe UI" w:eastAsiaTheme="majorEastAsia" w:hAnsi="Segoe UI" w:cs="Segoe UI"/>
          <w:bdr w:val="none" w:sz="0" w:space="0" w:color="auto" w:frame="1"/>
        </w:rPr>
        <w:t>la misma</w:t>
      </w:r>
      <w:proofErr w:type="gramEnd"/>
      <w:r>
        <w:rPr>
          <w:rStyle w:val="nfasis"/>
          <w:rFonts w:ascii="Segoe UI" w:eastAsiaTheme="majorEastAsia" w:hAnsi="Segoe UI" w:cs="Segoe UI"/>
          <w:bdr w:val="none" w:sz="0" w:space="0" w:color="auto" w:frame="1"/>
        </w:rPr>
        <w:t xml:space="preserve">, en la medida en que el éxito o fracaso determina de forma </w:t>
      </w:r>
      <w:r>
        <w:rPr>
          <w:rStyle w:val="nfasis"/>
          <w:rFonts w:ascii="Segoe UI" w:eastAsiaTheme="majorEastAsia" w:hAnsi="Segoe UI" w:cs="Segoe UI"/>
          <w:bdr w:val="none" w:sz="0" w:space="0" w:color="auto" w:frame="1"/>
        </w:rPr>
        <w:lastRenderedPageBreak/>
        <w:t xml:space="preserve">directa su retribución, situación que no se suele dar en el ámbito de una relación laboral en la que, con independencia de los resultados de la sociedad o la falta de actividad de </w:t>
      </w:r>
      <w:proofErr w:type="gramStart"/>
      <w:r>
        <w:rPr>
          <w:rStyle w:val="nfasis"/>
          <w:rFonts w:ascii="Segoe UI" w:eastAsiaTheme="majorEastAsia" w:hAnsi="Segoe UI" w:cs="Segoe UI"/>
          <w:bdr w:val="none" w:sz="0" w:space="0" w:color="auto" w:frame="1"/>
        </w:rPr>
        <w:t>la misma</w:t>
      </w:r>
      <w:proofErr w:type="gramEnd"/>
      <w:r>
        <w:rPr>
          <w:rStyle w:val="nfasis"/>
          <w:rFonts w:ascii="Segoe UI" w:eastAsiaTheme="majorEastAsia" w:hAnsi="Segoe UI" w:cs="Segoe UI"/>
          <w:bdr w:val="none" w:sz="0" w:space="0" w:color="auto" w:frame="1"/>
        </w:rPr>
        <w:t>, se devenga la correspondiente contraprestación para el trabajador”</w:t>
      </w:r>
      <w:r>
        <w:rPr>
          <w:rFonts w:ascii="Segoe UI" w:hAnsi="Segoe UI" w:cs="Segoe UI"/>
        </w:rPr>
        <w:t>.</w:t>
      </w:r>
    </w:p>
    <w:p w14:paraId="18705A4B" w14:textId="77777777" w:rsidR="005A6646" w:rsidRDefault="005A6646" w:rsidP="005A6646">
      <w:pPr>
        <w:pStyle w:val="ember-view"/>
        <w:spacing w:before="0" w:beforeAutospacing="0" w:after="0" w:afterAutospacing="0"/>
        <w:textAlignment w:val="baseline"/>
        <w:rPr>
          <w:rFonts w:ascii="Segoe UI" w:hAnsi="Segoe UI" w:cs="Segoe UI"/>
        </w:rPr>
      </w:pPr>
      <w:r>
        <w:rPr>
          <w:rFonts w:ascii="Segoe UI" w:hAnsi="Segoe UI" w:cs="Segoe UI"/>
        </w:rPr>
        <w:t>Finalmente, es necesario analizar sobre quién recae la responsabilidad contractual de la actividad desarrollada por el socio frente a los clientes, si bien, tal y como ha establecido el TJCE, el</w:t>
      </w:r>
      <w:r>
        <w:rPr>
          <w:rStyle w:val="white-space-pre"/>
          <w:rFonts w:ascii="Segoe UI" w:eastAsiaTheme="majorEastAsia" w:hAnsi="Segoe UI" w:cs="Segoe UI"/>
          <w:bdr w:val="none" w:sz="0" w:space="0" w:color="auto" w:frame="1"/>
        </w:rPr>
        <w:t xml:space="preserve"> </w:t>
      </w:r>
      <w:r>
        <w:rPr>
          <w:rStyle w:val="nfasis"/>
          <w:rFonts w:ascii="Segoe UI" w:eastAsiaTheme="majorEastAsia" w:hAnsi="Segoe UI" w:cs="Segoe UI"/>
          <w:bdr w:val="none" w:sz="0" w:space="0" w:color="auto" w:frame="1"/>
        </w:rPr>
        <w:t>“incumplimiento de esta condición no es óbice para poder considerar una relación como de independencia”</w:t>
      </w:r>
      <w:r>
        <w:rPr>
          <w:rFonts w:ascii="Segoe UI" w:hAnsi="Segoe UI" w:cs="Segoe UI"/>
        </w:rPr>
        <w:t>.</w:t>
      </w:r>
    </w:p>
    <w:p w14:paraId="2944ABDD" w14:textId="77777777" w:rsidR="005A6646" w:rsidRDefault="005A6646" w:rsidP="005A6646">
      <w:pPr>
        <w:pStyle w:val="ember-view"/>
        <w:spacing w:before="0" w:beforeAutospacing="0" w:after="0" w:afterAutospacing="0"/>
        <w:textAlignment w:val="baseline"/>
        <w:rPr>
          <w:rFonts w:ascii="Segoe UI" w:hAnsi="Segoe UI" w:cs="Segoe UI"/>
        </w:rPr>
      </w:pPr>
      <w:r>
        <w:rPr>
          <w:rFonts w:ascii="Segoe UI" w:hAnsi="Segoe UI" w:cs="Segoe UI"/>
        </w:rPr>
        <w:t>Por último, la DGT señala con acierto que</w:t>
      </w:r>
      <w:r>
        <w:rPr>
          <w:rStyle w:val="white-space-pre"/>
          <w:rFonts w:ascii="Segoe UI" w:eastAsiaTheme="majorEastAsia" w:hAnsi="Segoe UI" w:cs="Segoe UI"/>
          <w:bdr w:val="none" w:sz="0" w:space="0" w:color="auto" w:frame="1"/>
        </w:rPr>
        <w:t xml:space="preserve"> </w:t>
      </w:r>
      <w:r>
        <w:rPr>
          <w:rStyle w:val="nfasis"/>
          <w:rFonts w:ascii="Segoe UI" w:eastAsiaTheme="majorEastAsia" w:hAnsi="Segoe UI" w:cs="Segoe UI"/>
          <w:bdr w:val="none" w:sz="0" w:space="0" w:color="auto" w:frame="1"/>
        </w:rPr>
        <w:t>“a diferencia de la reforma que ha tenido lugar en el ámbito del (IRPF), no ha habido ninguna modificación de la Ley 37/1992 en este sentido”</w:t>
      </w:r>
      <w:r>
        <w:rPr>
          <w:rFonts w:ascii="Segoe UI" w:hAnsi="Segoe UI" w:cs="Segoe UI"/>
        </w:rPr>
        <w:t>. Por consiguiente, considerando que el IVA</w:t>
      </w:r>
      <w:r>
        <w:rPr>
          <w:rStyle w:val="white-space-pre"/>
          <w:rFonts w:ascii="Segoe UI" w:eastAsiaTheme="majorEastAsia" w:hAnsi="Segoe UI" w:cs="Segoe UI"/>
          <w:bdr w:val="none" w:sz="0" w:space="0" w:color="auto" w:frame="1"/>
        </w:rPr>
        <w:t xml:space="preserve"> </w:t>
      </w:r>
      <w:r>
        <w:rPr>
          <w:rStyle w:val="nfasis"/>
          <w:rFonts w:ascii="Segoe UI" w:eastAsiaTheme="majorEastAsia" w:hAnsi="Segoe UI" w:cs="Segoe UI"/>
          <w:bdr w:val="none" w:sz="0" w:space="0" w:color="auto" w:frame="1"/>
        </w:rPr>
        <w:t>“es un Impuesto armonizado a nivel comunitario y atendiendo al principio de estanqueidad tributaria, no tendrían por qué coincidir exactamente las calificaciones otorgadas a las operaciones por parte de la normativa reguladora de cada tributo”</w:t>
      </w:r>
      <w:r>
        <w:rPr>
          <w:rFonts w:ascii="Segoe UI" w:hAnsi="Segoe UI" w:cs="Segoe UI"/>
        </w:rPr>
        <w:t>; afirmación a la que hemos de añadir si la reforma en el IRPF era en tal sentido necesaria o si, por el contrario, ha contribuido a generar mayor inseguridad jurídica o, cuanto menos, una problemática innecesaria.</w:t>
      </w:r>
    </w:p>
    <w:p w14:paraId="4A82151A" w14:textId="77777777" w:rsidR="005A6646" w:rsidRDefault="005A6646" w:rsidP="005A6646">
      <w:pPr>
        <w:pStyle w:val="ember-view"/>
        <w:spacing w:before="0" w:beforeAutospacing="0" w:after="480" w:afterAutospacing="0"/>
        <w:textAlignment w:val="baseline"/>
        <w:rPr>
          <w:rFonts w:ascii="Segoe UI" w:hAnsi="Segoe UI" w:cs="Segoe UI"/>
        </w:rPr>
      </w:pPr>
      <w:r>
        <w:rPr>
          <w:rFonts w:ascii="Segoe UI" w:hAnsi="Segoe UI" w:cs="Segoe UI"/>
        </w:rPr>
        <w:t>A modo de conclusión, parece evidente que la reforma del art. 27) de la LIRPF está produciendo más dudas que las que su reforma pretendía solucionar.</w:t>
      </w:r>
    </w:p>
    <w:p w14:paraId="7B705BC9" w14:textId="77777777" w:rsidR="005A6646" w:rsidRDefault="005A6646" w:rsidP="005A6646">
      <w:pPr>
        <w:pStyle w:val="ember-view"/>
        <w:spacing w:before="0" w:beforeAutospacing="0" w:after="0" w:afterAutospacing="0"/>
        <w:textAlignment w:val="baseline"/>
        <w:rPr>
          <w:rFonts w:ascii="Segoe UI" w:hAnsi="Segoe UI" w:cs="Segoe UI"/>
        </w:rPr>
      </w:pPr>
      <w:r>
        <w:rPr>
          <w:rFonts w:ascii="Segoe UI" w:hAnsi="Segoe UI" w:cs="Segoe UI"/>
        </w:rPr>
        <w:t>En lo que al IVA se refiere, era a su vez necesario adaptar el criterio administrativo aplicado hasta hoy a la jurisprudencia comunitaria y muy particularmente a los</w:t>
      </w:r>
      <w:r>
        <w:rPr>
          <w:rStyle w:val="white-space-pre"/>
          <w:rFonts w:ascii="Segoe UI" w:eastAsiaTheme="majorEastAsia" w:hAnsi="Segoe UI" w:cs="Segoe UI"/>
          <w:bdr w:val="none" w:sz="0" w:space="0" w:color="auto" w:frame="1"/>
        </w:rPr>
        <w:t xml:space="preserve"> </w:t>
      </w:r>
      <w:r>
        <w:rPr>
          <w:rStyle w:val="nfasis"/>
          <w:rFonts w:ascii="Segoe UI" w:eastAsiaTheme="majorEastAsia" w:hAnsi="Segoe UI" w:cs="Segoe UI"/>
          <w:bdr w:val="none" w:sz="0" w:space="0" w:color="auto" w:frame="1"/>
        </w:rPr>
        <w:t>“</w:t>
      </w:r>
      <w:proofErr w:type="spellStart"/>
      <w:r>
        <w:rPr>
          <w:rStyle w:val="nfasis"/>
          <w:rFonts w:ascii="Segoe UI" w:eastAsiaTheme="majorEastAsia" w:hAnsi="Segoe UI" w:cs="Segoe UI"/>
          <w:bdr w:val="none" w:sz="0" w:space="0" w:color="auto" w:frame="1"/>
        </w:rPr>
        <w:t>working</w:t>
      </w:r>
      <w:proofErr w:type="spellEnd"/>
      <w:r>
        <w:rPr>
          <w:rStyle w:val="nfasis"/>
          <w:rFonts w:ascii="Segoe UI" w:eastAsiaTheme="majorEastAsia" w:hAnsi="Segoe UI" w:cs="Segoe UI"/>
          <w:bdr w:val="none" w:sz="0" w:space="0" w:color="auto" w:frame="1"/>
        </w:rPr>
        <w:t xml:space="preserve"> </w:t>
      </w:r>
      <w:proofErr w:type="spellStart"/>
      <w:r>
        <w:rPr>
          <w:rStyle w:val="nfasis"/>
          <w:rFonts w:ascii="Segoe UI" w:eastAsiaTheme="majorEastAsia" w:hAnsi="Segoe UI" w:cs="Segoe UI"/>
          <w:bdr w:val="none" w:sz="0" w:space="0" w:color="auto" w:frame="1"/>
        </w:rPr>
        <w:t>papers</w:t>
      </w:r>
      <w:proofErr w:type="spellEnd"/>
      <w:r>
        <w:rPr>
          <w:rStyle w:val="nfasis"/>
          <w:rFonts w:ascii="Segoe UI" w:eastAsiaTheme="majorEastAsia" w:hAnsi="Segoe UI" w:cs="Segoe UI"/>
          <w:bdr w:val="none" w:sz="0" w:space="0" w:color="auto" w:frame="1"/>
        </w:rPr>
        <w:t>”</w:t>
      </w:r>
      <w:r>
        <w:rPr>
          <w:rStyle w:val="white-space-pre"/>
          <w:rFonts w:ascii="Segoe UI" w:eastAsiaTheme="majorEastAsia" w:hAnsi="Segoe UI" w:cs="Segoe UI"/>
          <w:bdr w:val="none" w:sz="0" w:space="0" w:color="auto" w:frame="1"/>
        </w:rPr>
        <w:t xml:space="preserve"> </w:t>
      </w:r>
      <w:r>
        <w:rPr>
          <w:rFonts w:ascii="Segoe UI" w:hAnsi="Segoe UI" w:cs="Segoe UI"/>
        </w:rPr>
        <w:t xml:space="preserve">comunitarios abandonando los tradicionales criterios vinculados a las notas de ajenidad y dependencia y, en definitiva, al control efectivo del socio en la sociedad. En este sentido, la Resolución de la DGT de 13 de abril de 2015 es sin duda un avance importante al </w:t>
      </w:r>
      <w:proofErr w:type="gramStart"/>
      <w:r>
        <w:rPr>
          <w:rFonts w:ascii="Segoe UI" w:hAnsi="Segoe UI" w:cs="Segoe UI"/>
        </w:rPr>
        <w:t>respecto</w:t>
      </w:r>
      <w:proofErr w:type="gramEnd"/>
      <w:r>
        <w:rPr>
          <w:rFonts w:ascii="Segoe UI" w:hAnsi="Segoe UI" w:cs="Segoe UI"/>
        </w:rPr>
        <w:t xml:space="preserve"> aunque hubiere sido deseable una mayor claridad y concreción en determinadas cuestiones.</w:t>
      </w:r>
    </w:p>
    <w:p w14:paraId="207E29F4" w14:textId="77777777" w:rsidR="005A6646" w:rsidRDefault="005A6646" w:rsidP="005A6646">
      <w:pPr>
        <w:pStyle w:val="ember-view"/>
        <w:spacing w:before="0" w:beforeAutospacing="0" w:after="480" w:afterAutospacing="0"/>
        <w:textAlignment w:val="baseline"/>
        <w:rPr>
          <w:rFonts w:ascii="Segoe UI" w:hAnsi="Segoe UI" w:cs="Segoe UI"/>
        </w:rPr>
      </w:pPr>
      <w:r>
        <w:rPr>
          <w:rFonts w:ascii="Segoe UI" w:hAnsi="Segoe UI" w:cs="Segoe UI"/>
        </w:rPr>
        <w:t>En cualquier caso, y de su lectura, conviene destacar lo siguiente:</w:t>
      </w:r>
    </w:p>
    <w:p w14:paraId="231C39E7" w14:textId="77777777" w:rsidR="005A6646" w:rsidRDefault="005A6646" w:rsidP="005A6646">
      <w:pPr>
        <w:pStyle w:val="ember-view"/>
        <w:spacing w:before="0" w:beforeAutospacing="0" w:after="0" w:afterAutospacing="0"/>
        <w:textAlignment w:val="baseline"/>
        <w:rPr>
          <w:rFonts w:ascii="Segoe UI" w:hAnsi="Segoe UI" w:cs="Segoe UI"/>
        </w:rPr>
      </w:pPr>
      <w:proofErr w:type="gramStart"/>
      <w:r>
        <w:rPr>
          <w:rStyle w:val="nfasis"/>
          <w:rFonts w:ascii="Segoe UI" w:eastAsiaTheme="majorEastAsia" w:hAnsi="Segoe UI" w:cs="Segoe UI"/>
          <w:bdr w:val="none" w:sz="0" w:space="0" w:color="auto" w:frame="1"/>
        </w:rPr>
        <w:t>Primero.-</w:t>
      </w:r>
      <w:proofErr w:type="gramEnd"/>
      <w:r>
        <w:rPr>
          <w:rStyle w:val="white-space-pre"/>
          <w:rFonts w:ascii="Segoe UI" w:eastAsiaTheme="majorEastAsia" w:hAnsi="Segoe UI" w:cs="Segoe UI"/>
          <w:bdr w:val="none" w:sz="0" w:space="0" w:color="auto" w:frame="1"/>
        </w:rPr>
        <w:t xml:space="preserve"> </w:t>
      </w:r>
      <w:r>
        <w:rPr>
          <w:rFonts w:ascii="Segoe UI" w:hAnsi="Segoe UI" w:cs="Segoe UI"/>
        </w:rPr>
        <w:t>El concepto de empresario o profesional en el IVA no tiene que coincidir con el recogido al respecto en el IRPF.</w:t>
      </w:r>
    </w:p>
    <w:p w14:paraId="0CE6189B" w14:textId="77777777" w:rsidR="005A6646" w:rsidRDefault="005A6646" w:rsidP="005A6646">
      <w:pPr>
        <w:pStyle w:val="ember-view"/>
        <w:spacing w:before="0" w:beforeAutospacing="0" w:after="0" w:afterAutospacing="0"/>
        <w:textAlignment w:val="baseline"/>
        <w:rPr>
          <w:rFonts w:ascii="Segoe UI" w:hAnsi="Segoe UI" w:cs="Segoe UI"/>
        </w:rPr>
      </w:pPr>
      <w:proofErr w:type="gramStart"/>
      <w:r>
        <w:rPr>
          <w:rStyle w:val="nfasis"/>
          <w:rFonts w:ascii="Segoe UI" w:eastAsiaTheme="majorEastAsia" w:hAnsi="Segoe UI" w:cs="Segoe UI"/>
          <w:bdr w:val="none" w:sz="0" w:space="0" w:color="auto" w:frame="1"/>
        </w:rPr>
        <w:t>Segundo.-</w:t>
      </w:r>
      <w:proofErr w:type="gramEnd"/>
      <w:r>
        <w:rPr>
          <w:rStyle w:val="white-space-pre"/>
          <w:rFonts w:ascii="Segoe UI" w:eastAsiaTheme="majorEastAsia" w:hAnsi="Segoe UI" w:cs="Segoe UI"/>
          <w:bdr w:val="none" w:sz="0" w:space="0" w:color="auto" w:frame="1"/>
        </w:rPr>
        <w:t xml:space="preserve"> </w:t>
      </w:r>
      <w:r>
        <w:rPr>
          <w:rFonts w:ascii="Segoe UI" w:hAnsi="Segoe UI" w:cs="Segoe UI"/>
        </w:rPr>
        <w:t>Si la titularidad o el derecho de uso de los activos principales para el ejercicio de la actividad corresponden a la sociedad, la prestación de servicios realizada por el socio en favor de la sociedad no está sujeta al IVA en la medida en que no concurra un elemento fundamental cual es la ordenación de medios propios.</w:t>
      </w:r>
    </w:p>
    <w:p w14:paraId="724AA2EF" w14:textId="77777777" w:rsidR="005A6646" w:rsidRDefault="005A6646" w:rsidP="005A6646">
      <w:pPr>
        <w:pStyle w:val="ember-view"/>
        <w:spacing w:before="0" w:beforeAutospacing="0" w:after="0" w:afterAutospacing="0"/>
        <w:textAlignment w:val="baseline"/>
        <w:rPr>
          <w:rFonts w:ascii="Segoe UI" w:hAnsi="Segoe UI" w:cs="Segoe UI"/>
        </w:rPr>
      </w:pPr>
      <w:proofErr w:type="gramStart"/>
      <w:r>
        <w:rPr>
          <w:rStyle w:val="nfasis"/>
          <w:rFonts w:ascii="Segoe UI" w:eastAsiaTheme="majorEastAsia" w:hAnsi="Segoe UI" w:cs="Segoe UI"/>
          <w:bdr w:val="none" w:sz="0" w:space="0" w:color="auto" w:frame="1"/>
        </w:rPr>
        <w:t>Tercero.-</w:t>
      </w:r>
      <w:proofErr w:type="gramEnd"/>
      <w:r>
        <w:rPr>
          <w:rStyle w:val="white-space-pre"/>
          <w:rFonts w:ascii="Segoe UI" w:eastAsiaTheme="majorEastAsia" w:hAnsi="Segoe UI" w:cs="Segoe UI"/>
          <w:bdr w:val="none" w:sz="0" w:space="0" w:color="auto" w:frame="1"/>
        </w:rPr>
        <w:t xml:space="preserve"> </w:t>
      </w:r>
      <w:r>
        <w:rPr>
          <w:rFonts w:ascii="Segoe UI" w:hAnsi="Segoe UI" w:cs="Segoe UI"/>
        </w:rPr>
        <w:t>Si la titularidad o el derecho de uso de los activos principales para el ejercicio de la actividad no corresponden a la sociedad, hay que analizar cada caso concreto y tener en cuenta todas las circunstancias concurrentes para determinar si existe o no ejercicio independiente de una actividad económica, en concreto, las condiciones de trabajo, la remuneración y la responsabilidad.</w:t>
      </w:r>
    </w:p>
    <w:p w14:paraId="3459A69B" w14:textId="77777777" w:rsidR="005A6646" w:rsidRDefault="005A6646" w:rsidP="005A6646">
      <w:pPr>
        <w:pStyle w:val="ember-view"/>
        <w:spacing w:before="0" w:beforeAutospacing="0" w:after="0" w:afterAutospacing="0"/>
        <w:textAlignment w:val="baseline"/>
        <w:rPr>
          <w:rFonts w:ascii="Segoe UI" w:hAnsi="Segoe UI" w:cs="Segoe UI"/>
        </w:rPr>
      </w:pPr>
      <w:proofErr w:type="gramStart"/>
      <w:r>
        <w:rPr>
          <w:rStyle w:val="nfasis"/>
          <w:rFonts w:ascii="Segoe UI" w:eastAsiaTheme="majorEastAsia" w:hAnsi="Segoe UI" w:cs="Segoe UI"/>
          <w:bdr w:val="none" w:sz="0" w:space="0" w:color="auto" w:frame="1"/>
        </w:rPr>
        <w:lastRenderedPageBreak/>
        <w:t>Cuarto.-</w:t>
      </w:r>
      <w:proofErr w:type="gramEnd"/>
      <w:r>
        <w:rPr>
          <w:rStyle w:val="white-space-pre"/>
          <w:rFonts w:ascii="Segoe UI" w:eastAsiaTheme="majorEastAsia" w:hAnsi="Segoe UI" w:cs="Segoe UI"/>
          <w:bdr w:val="none" w:sz="0" w:space="0" w:color="auto" w:frame="1"/>
        </w:rPr>
        <w:t xml:space="preserve"> </w:t>
      </w:r>
      <w:r>
        <w:rPr>
          <w:rFonts w:ascii="Segoe UI" w:hAnsi="Segoe UI" w:cs="Segoe UI"/>
        </w:rPr>
        <w:t xml:space="preserve">Por lo que se refiere a las condiciones retributivas, hay que analizar si el socio soporta el riesgo económico de la actividad, esto es, si su retribución está en función de un porcentaje de los beneficios de la entidad, de las prestaciones efectivamente realizadas por el mismo o de las cantidades facturadas a los clientes, bien en su importe total o en una parte de </w:t>
      </w:r>
      <w:proofErr w:type="gramStart"/>
      <w:r>
        <w:rPr>
          <w:rFonts w:ascii="Segoe UI" w:hAnsi="Segoe UI" w:cs="Segoe UI"/>
        </w:rPr>
        <w:t>la misma</w:t>
      </w:r>
      <w:proofErr w:type="gramEnd"/>
      <w:r>
        <w:rPr>
          <w:rFonts w:ascii="Segoe UI" w:hAnsi="Segoe UI" w:cs="Segoe UI"/>
        </w:rPr>
        <w:t xml:space="preserve"> que sea significativa. Si es así, hay que concluir que no existen lazos de subordinación y, por tanto, que la actividad se realiza con carácter independiente.</w:t>
      </w:r>
    </w:p>
    <w:p w14:paraId="6E5964D8" w14:textId="77777777" w:rsidR="005A6646" w:rsidRDefault="005A6646" w:rsidP="005A6646">
      <w:pPr>
        <w:pStyle w:val="ember-view"/>
        <w:spacing w:before="0" w:beforeAutospacing="0" w:after="0" w:afterAutospacing="0"/>
        <w:textAlignment w:val="baseline"/>
        <w:rPr>
          <w:rFonts w:ascii="Segoe UI" w:hAnsi="Segoe UI" w:cs="Segoe UI"/>
        </w:rPr>
      </w:pPr>
      <w:proofErr w:type="gramStart"/>
      <w:r>
        <w:rPr>
          <w:rStyle w:val="nfasis"/>
          <w:rFonts w:ascii="Segoe UI" w:eastAsiaTheme="majorEastAsia" w:hAnsi="Segoe UI" w:cs="Segoe UI"/>
          <w:bdr w:val="none" w:sz="0" w:space="0" w:color="auto" w:frame="1"/>
        </w:rPr>
        <w:t>Quinto.-</w:t>
      </w:r>
      <w:proofErr w:type="gramEnd"/>
      <w:r>
        <w:rPr>
          <w:rStyle w:val="white-space-pre"/>
          <w:rFonts w:ascii="Segoe UI" w:eastAsiaTheme="majorEastAsia" w:hAnsi="Segoe UI" w:cs="Segoe UI"/>
          <w:bdr w:val="none" w:sz="0" w:space="0" w:color="auto" w:frame="1"/>
        </w:rPr>
        <w:t xml:space="preserve"> </w:t>
      </w:r>
      <w:r>
        <w:rPr>
          <w:rFonts w:ascii="Segoe UI" w:hAnsi="Segoe UI" w:cs="Segoe UI"/>
        </w:rPr>
        <w:t>Por lo que se refiere a la responsabilidad contractual, el incumplimiento de esta condición no es óbice para considerar una relación como realizada con carácter de independencia.</w:t>
      </w:r>
    </w:p>
    <w:p w14:paraId="767E98D1" w14:textId="77777777" w:rsidR="005A6646" w:rsidRDefault="005A6646" w:rsidP="005A6646">
      <w:pPr>
        <w:pStyle w:val="ember-view"/>
        <w:spacing w:before="0" w:beforeAutospacing="0" w:after="480" w:afterAutospacing="0"/>
        <w:textAlignment w:val="baseline"/>
        <w:rPr>
          <w:rFonts w:ascii="Segoe UI" w:hAnsi="Segoe UI" w:cs="Segoe UI"/>
        </w:rPr>
      </w:pPr>
      <w:r>
        <w:rPr>
          <w:rFonts w:ascii="Segoe UI" w:hAnsi="Segoe UI" w:cs="Segoe UI"/>
        </w:rPr>
        <w:t>A lo anterior, hay que añadir las siguientes conclusiones:</w:t>
      </w:r>
    </w:p>
    <w:p w14:paraId="71B98EEC" w14:textId="77777777" w:rsidR="005A6646" w:rsidRDefault="005A6646" w:rsidP="005A6646">
      <w:pPr>
        <w:pStyle w:val="ember-view"/>
        <w:spacing w:before="0" w:beforeAutospacing="0" w:after="0" w:afterAutospacing="0"/>
        <w:textAlignment w:val="baseline"/>
        <w:rPr>
          <w:rFonts w:ascii="Segoe UI" w:hAnsi="Segoe UI" w:cs="Segoe UI"/>
        </w:rPr>
      </w:pPr>
      <w:proofErr w:type="gramStart"/>
      <w:r>
        <w:rPr>
          <w:rStyle w:val="nfasis"/>
          <w:rFonts w:ascii="Segoe UI" w:eastAsiaTheme="majorEastAsia" w:hAnsi="Segoe UI" w:cs="Segoe UI"/>
          <w:bdr w:val="none" w:sz="0" w:space="0" w:color="auto" w:frame="1"/>
        </w:rPr>
        <w:t>Primera.-</w:t>
      </w:r>
      <w:proofErr w:type="gramEnd"/>
      <w:r>
        <w:rPr>
          <w:rStyle w:val="white-space-pre"/>
          <w:rFonts w:ascii="Segoe UI" w:eastAsiaTheme="majorEastAsia" w:hAnsi="Segoe UI" w:cs="Segoe UI"/>
          <w:bdr w:val="none" w:sz="0" w:space="0" w:color="auto" w:frame="1"/>
        </w:rPr>
        <w:t xml:space="preserve"> </w:t>
      </w:r>
      <w:r>
        <w:rPr>
          <w:rFonts w:ascii="Segoe UI" w:hAnsi="Segoe UI" w:cs="Segoe UI"/>
        </w:rPr>
        <w:t>En el caso de sociedades de medios, la prestación de servicios realizada por el socio está en todo caso sujeta al IVA.</w:t>
      </w:r>
    </w:p>
    <w:p w14:paraId="76ACDD75" w14:textId="77777777" w:rsidR="005A6646" w:rsidRDefault="005A6646" w:rsidP="005A6646">
      <w:pPr>
        <w:pStyle w:val="ember-view"/>
        <w:spacing w:before="0" w:beforeAutospacing="0" w:after="0" w:afterAutospacing="0"/>
        <w:textAlignment w:val="baseline"/>
        <w:rPr>
          <w:rFonts w:ascii="Segoe UI" w:hAnsi="Segoe UI" w:cs="Segoe UI"/>
        </w:rPr>
      </w:pPr>
      <w:proofErr w:type="gramStart"/>
      <w:r>
        <w:rPr>
          <w:rStyle w:val="nfasis"/>
          <w:rFonts w:ascii="Segoe UI" w:eastAsiaTheme="majorEastAsia" w:hAnsi="Segoe UI" w:cs="Segoe UI"/>
          <w:bdr w:val="none" w:sz="0" w:space="0" w:color="auto" w:frame="1"/>
        </w:rPr>
        <w:t>Segunda.-</w:t>
      </w:r>
      <w:proofErr w:type="gramEnd"/>
      <w:r>
        <w:rPr>
          <w:rStyle w:val="white-space-pre"/>
          <w:rFonts w:ascii="Segoe UI" w:eastAsiaTheme="majorEastAsia" w:hAnsi="Segoe UI" w:cs="Segoe UI"/>
          <w:bdr w:val="none" w:sz="0" w:space="0" w:color="auto" w:frame="1"/>
        </w:rPr>
        <w:t xml:space="preserve"> </w:t>
      </w:r>
      <w:r>
        <w:rPr>
          <w:rFonts w:ascii="Segoe UI" w:hAnsi="Segoe UI" w:cs="Segoe UI"/>
        </w:rPr>
        <w:t xml:space="preserve">En el caso de sociedades profesionales a las que la Ley 2/2007 es de aplicación, las prestaciones de servicios realizadas por el socio en favor de la sociedad en la que este </w:t>
      </w:r>
      <w:proofErr w:type="gramStart"/>
      <w:r>
        <w:rPr>
          <w:rFonts w:ascii="Segoe UI" w:hAnsi="Segoe UI" w:cs="Segoe UI"/>
        </w:rPr>
        <w:t>participa,</w:t>
      </w:r>
      <w:proofErr w:type="gramEnd"/>
      <w:r>
        <w:rPr>
          <w:rFonts w:ascii="Segoe UI" w:hAnsi="Segoe UI" w:cs="Segoe UI"/>
        </w:rPr>
        <w:t xml:space="preserve"> no están sujetas al IVA siempre que la retribución que este percibe por tal concepto esté desvinculada del resultado de la actividad.</w:t>
      </w:r>
    </w:p>
    <w:p w14:paraId="60B8B6BB" w14:textId="77777777" w:rsidR="005A6646" w:rsidRDefault="005A6646" w:rsidP="005A6646">
      <w:pPr>
        <w:pStyle w:val="ember-view"/>
        <w:spacing w:before="0" w:beforeAutospacing="0" w:after="0" w:afterAutospacing="0"/>
        <w:textAlignment w:val="baseline"/>
        <w:rPr>
          <w:rFonts w:ascii="Segoe UI" w:hAnsi="Segoe UI" w:cs="Segoe UI"/>
        </w:rPr>
      </w:pPr>
      <w:proofErr w:type="gramStart"/>
      <w:r>
        <w:rPr>
          <w:rStyle w:val="nfasis"/>
          <w:rFonts w:ascii="Segoe UI" w:eastAsiaTheme="majorEastAsia" w:hAnsi="Segoe UI" w:cs="Segoe UI"/>
          <w:bdr w:val="none" w:sz="0" w:space="0" w:color="auto" w:frame="1"/>
        </w:rPr>
        <w:t>Tercera.-</w:t>
      </w:r>
      <w:proofErr w:type="gramEnd"/>
      <w:r>
        <w:rPr>
          <w:rStyle w:val="white-space-pre"/>
          <w:rFonts w:ascii="Segoe UI" w:eastAsiaTheme="majorEastAsia" w:hAnsi="Segoe UI" w:cs="Segoe UI"/>
          <w:i/>
          <w:iCs/>
          <w:bdr w:val="none" w:sz="0" w:space="0" w:color="auto" w:frame="1"/>
        </w:rPr>
        <w:t xml:space="preserve"> </w:t>
      </w:r>
      <w:r>
        <w:rPr>
          <w:rFonts w:ascii="Segoe UI" w:hAnsi="Segoe UI" w:cs="Segoe UI"/>
        </w:rPr>
        <w:t xml:space="preserve">En el caso de sociedades profesionales a las que la Ley 2/2007 no es de aplicación, las prestaciones de servicios realizadas por el socio en favor de la sociedad en la que este </w:t>
      </w:r>
      <w:proofErr w:type="gramStart"/>
      <w:r>
        <w:rPr>
          <w:rFonts w:ascii="Segoe UI" w:hAnsi="Segoe UI" w:cs="Segoe UI"/>
        </w:rPr>
        <w:t>participa,</w:t>
      </w:r>
      <w:proofErr w:type="gramEnd"/>
      <w:r>
        <w:rPr>
          <w:rFonts w:ascii="Segoe UI" w:hAnsi="Segoe UI" w:cs="Segoe UI"/>
        </w:rPr>
        <w:t xml:space="preserve"> no están sujetas al IVA siempre que la retribución que este percibe por tal concepto esté desvinculada del resultado de la actividad y en el desarrollo de la actividad exista una identidad sustancial con el funcionamiento típico de las sociedades profesionales</w:t>
      </w:r>
      <w:r>
        <w:rPr>
          <w:rStyle w:val="white-space-pre"/>
          <w:rFonts w:ascii="Segoe UI" w:eastAsiaTheme="majorEastAsia" w:hAnsi="Segoe UI" w:cs="Segoe UI"/>
          <w:bdr w:val="none" w:sz="0" w:space="0" w:color="auto" w:frame="1"/>
        </w:rPr>
        <w:t xml:space="preserve"> </w:t>
      </w:r>
      <w:r>
        <w:rPr>
          <w:rStyle w:val="nfasis"/>
          <w:rFonts w:ascii="Segoe UI" w:eastAsiaTheme="majorEastAsia" w:hAnsi="Segoe UI" w:cs="Segoe UI"/>
          <w:bdr w:val="none" w:sz="0" w:space="0" w:color="auto" w:frame="1"/>
        </w:rPr>
        <w:t>“estricto sensu”</w:t>
      </w:r>
      <w:r>
        <w:rPr>
          <w:rFonts w:ascii="Segoe UI" w:hAnsi="Segoe UI" w:cs="Segoe UI"/>
        </w:rPr>
        <w:t>.</w:t>
      </w:r>
    </w:p>
    <w:p w14:paraId="29470D0F" w14:textId="77777777" w:rsidR="005A6646" w:rsidRDefault="005A6646" w:rsidP="005A6646">
      <w:pPr>
        <w:pStyle w:val="ember-view"/>
        <w:spacing w:before="0" w:beforeAutospacing="0" w:after="0" w:afterAutospacing="0"/>
        <w:textAlignment w:val="baseline"/>
        <w:rPr>
          <w:rFonts w:ascii="Segoe UI" w:hAnsi="Segoe UI" w:cs="Segoe UI"/>
        </w:rPr>
      </w:pPr>
      <w:proofErr w:type="gramStart"/>
      <w:r>
        <w:rPr>
          <w:rStyle w:val="nfasis"/>
          <w:rFonts w:ascii="Segoe UI" w:eastAsiaTheme="majorEastAsia" w:hAnsi="Segoe UI" w:cs="Segoe UI"/>
          <w:bdr w:val="none" w:sz="0" w:space="0" w:color="auto" w:frame="1"/>
        </w:rPr>
        <w:t>Cuarta.-</w:t>
      </w:r>
      <w:proofErr w:type="gramEnd"/>
      <w:r>
        <w:rPr>
          <w:rStyle w:val="white-space-pre"/>
          <w:rFonts w:ascii="Segoe UI" w:eastAsiaTheme="majorEastAsia" w:hAnsi="Segoe UI" w:cs="Segoe UI"/>
          <w:bdr w:val="none" w:sz="0" w:space="0" w:color="auto" w:frame="1"/>
        </w:rPr>
        <w:t xml:space="preserve"> </w:t>
      </w:r>
      <w:r>
        <w:rPr>
          <w:rFonts w:ascii="Segoe UI" w:hAnsi="Segoe UI" w:cs="Segoe UI"/>
        </w:rPr>
        <w:t>En términos comunitarios, lo esencial es determinar si la actividad se realiza con carácter independiente.</w:t>
      </w:r>
    </w:p>
    <w:p w14:paraId="25CCCC39" w14:textId="77777777" w:rsidR="005A6646" w:rsidRDefault="005A6646" w:rsidP="005A6646">
      <w:pPr>
        <w:pStyle w:val="ember-view"/>
        <w:spacing w:before="0" w:beforeAutospacing="0" w:after="0" w:afterAutospacing="0"/>
        <w:textAlignment w:val="baseline"/>
        <w:rPr>
          <w:rFonts w:ascii="Segoe UI" w:hAnsi="Segoe UI" w:cs="Segoe UI"/>
        </w:rPr>
      </w:pPr>
      <w:proofErr w:type="gramStart"/>
      <w:r>
        <w:rPr>
          <w:rStyle w:val="nfasis"/>
          <w:rFonts w:ascii="Segoe UI" w:eastAsiaTheme="majorEastAsia" w:hAnsi="Segoe UI" w:cs="Segoe UI"/>
          <w:bdr w:val="none" w:sz="0" w:space="0" w:color="auto" w:frame="1"/>
        </w:rPr>
        <w:t>Quinta.-</w:t>
      </w:r>
      <w:proofErr w:type="gramEnd"/>
      <w:r>
        <w:rPr>
          <w:rStyle w:val="white-space-pre"/>
          <w:rFonts w:ascii="Segoe UI" w:eastAsiaTheme="majorEastAsia" w:hAnsi="Segoe UI" w:cs="Segoe UI"/>
          <w:bdr w:val="none" w:sz="0" w:space="0" w:color="auto" w:frame="1"/>
        </w:rPr>
        <w:t xml:space="preserve"> </w:t>
      </w:r>
      <w:r>
        <w:rPr>
          <w:rFonts w:ascii="Segoe UI" w:hAnsi="Segoe UI" w:cs="Segoe UI"/>
        </w:rPr>
        <w:t>Se considera que la actividad se realiza con carácter independiente, si quien presta el servicio soporta el riesgo económico de la actividad que este realiza.</w:t>
      </w:r>
    </w:p>
    <w:p w14:paraId="3CC35D08" w14:textId="77777777" w:rsidR="005A6646" w:rsidRDefault="005A6646" w:rsidP="005A6646">
      <w:pPr>
        <w:pStyle w:val="ember-view"/>
        <w:spacing w:before="0" w:beforeAutospacing="0" w:after="0" w:afterAutospacing="0"/>
        <w:textAlignment w:val="baseline"/>
        <w:rPr>
          <w:rFonts w:ascii="Segoe UI" w:hAnsi="Segoe UI" w:cs="Segoe UI"/>
        </w:rPr>
      </w:pPr>
      <w:proofErr w:type="gramStart"/>
      <w:r>
        <w:rPr>
          <w:rStyle w:val="nfasis"/>
          <w:rFonts w:ascii="Segoe UI" w:eastAsiaTheme="majorEastAsia" w:hAnsi="Segoe UI" w:cs="Segoe UI"/>
          <w:bdr w:val="none" w:sz="0" w:space="0" w:color="auto" w:frame="1"/>
        </w:rPr>
        <w:t>Sexta.-</w:t>
      </w:r>
      <w:proofErr w:type="gramEnd"/>
      <w:r>
        <w:rPr>
          <w:rStyle w:val="white-space-pre"/>
          <w:rFonts w:ascii="Segoe UI" w:eastAsiaTheme="majorEastAsia" w:hAnsi="Segoe UI" w:cs="Segoe UI"/>
          <w:bdr w:val="none" w:sz="0" w:space="0" w:color="auto" w:frame="1"/>
        </w:rPr>
        <w:t xml:space="preserve"> </w:t>
      </w:r>
      <w:r>
        <w:rPr>
          <w:rFonts w:ascii="Segoe UI" w:hAnsi="Segoe UI" w:cs="Segoe UI"/>
        </w:rPr>
        <w:t>Se considera que quien presta el servicio soporta el riesgo económico, si este asume también los gastos en los que se incurre en el desarrollo de la actividad.</w:t>
      </w:r>
    </w:p>
    <w:p w14:paraId="2DD4C9D5" w14:textId="77777777" w:rsidR="005A6646" w:rsidRDefault="005A6646" w:rsidP="005A6646">
      <w:pPr>
        <w:pStyle w:val="ember-view"/>
        <w:spacing w:before="0" w:beforeAutospacing="0" w:after="0" w:afterAutospacing="0"/>
        <w:textAlignment w:val="baseline"/>
        <w:rPr>
          <w:rFonts w:ascii="Segoe UI" w:hAnsi="Segoe UI" w:cs="Segoe UI"/>
        </w:rPr>
      </w:pPr>
      <w:proofErr w:type="gramStart"/>
      <w:r>
        <w:rPr>
          <w:rStyle w:val="nfasis"/>
          <w:rFonts w:ascii="Segoe UI" w:eastAsiaTheme="majorEastAsia" w:hAnsi="Segoe UI" w:cs="Segoe UI"/>
          <w:bdr w:val="none" w:sz="0" w:space="0" w:color="auto" w:frame="1"/>
        </w:rPr>
        <w:t>Séptima.-</w:t>
      </w:r>
      <w:proofErr w:type="gramEnd"/>
      <w:r>
        <w:rPr>
          <w:rStyle w:val="white-space-pre"/>
          <w:rFonts w:ascii="Segoe UI" w:eastAsiaTheme="majorEastAsia" w:hAnsi="Segoe UI" w:cs="Segoe UI"/>
          <w:bdr w:val="none" w:sz="0" w:space="0" w:color="auto" w:frame="1"/>
        </w:rPr>
        <w:t xml:space="preserve"> </w:t>
      </w:r>
      <w:r>
        <w:rPr>
          <w:rFonts w:ascii="Segoe UI" w:hAnsi="Segoe UI" w:cs="Segoe UI"/>
        </w:rPr>
        <w:t>Constituye un indicio de que se soporta el riesgo económico si la retribución que el socio percibe está vinculada al resultado de la actividad.</w:t>
      </w:r>
    </w:p>
    <w:p w14:paraId="574FC69F" w14:textId="77777777" w:rsidR="005A6646" w:rsidRDefault="005A6646" w:rsidP="005A6646">
      <w:pPr>
        <w:pStyle w:val="ember-view"/>
        <w:spacing w:before="0" w:beforeAutospacing="0" w:after="0" w:afterAutospacing="0"/>
        <w:textAlignment w:val="baseline"/>
        <w:rPr>
          <w:rFonts w:ascii="Segoe UI" w:hAnsi="Segoe UI" w:cs="Segoe UI"/>
        </w:rPr>
      </w:pPr>
      <w:proofErr w:type="gramStart"/>
      <w:r>
        <w:rPr>
          <w:rStyle w:val="nfasis"/>
          <w:rFonts w:ascii="Segoe UI" w:eastAsiaTheme="majorEastAsia" w:hAnsi="Segoe UI" w:cs="Segoe UI"/>
          <w:bdr w:val="none" w:sz="0" w:space="0" w:color="auto" w:frame="1"/>
        </w:rPr>
        <w:t>Octava.-</w:t>
      </w:r>
      <w:proofErr w:type="gramEnd"/>
      <w:r>
        <w:rPr>
          <w:rStyle w:val="white-space-pre"/>
          <w:rFonts w:ascii="Segoe UI" w:eastAsiaTheme="majorEastAsia" w:hAnsi="Segoe UI" w:cs="Segoe UI"/>
          <w:bdr w:val="none" w:sz="0" w:space="0" w:color="auto" w:frame="1"/>
        </w:rPr>
        <w:t xml:space="preserve"> </w:t>
      </w:r>
      <w:r>
        <w:rPr>
          <w:rFonts w:ascii="Segoe UI" w:hAnsi="Segoe UI" w:cs="Segoe UI"/>
        </w:rPr>
        <w:t>A los efectos de determinar si la actividad se realiza con carácter independiente, el porcentaje de participación del socio profesional en la sociedad en la que este participa es irrelevante.</w:t>
      </w:r>
    </w:p>
    <w:p w14:paraId="2A839E3A" w14:textId="77777777" w:rsidR="005A6646" w:rsidRDefault="005A6646" w:rsidP="005A6646">
      <w:pPr>
        <w:pStyle w:val="ember-view"/>
        <w:spacing w:before="0" w:beforeAutospacing="0" w:after="0" w:afterAutospacing="0"/>
        <w:textAlignment w:val="baseline"/>
        <w:rPr>
          <w:rFonts w:ascii="Segoe UI" w:hAnsi="Segoe UI" w:cs="Segoe UI"/>
        </w:rPr>
      </w:pPr>
      <w:proofErr w:type="gramStart"/>
      <w:r>
        <w:rPr>
          <w:rStyle w:val="nfasis"/>
          <w:rFonts w:ascii="Segoe UI" w:eastAsiaTheme="majorEastAsia" w:hAnsi="Segoe UI" w:cs="Segoe UI"/>
          <w:bdr w:val="none" w:sz="0" w:space="0" w:color="auto" w:frame="1"/>
        </w:rPr>
        <w:t>Novena.-</w:t>
      </w:r>
      <w:proofErr w:type="gramEnd"/>
      <w:r>
        <w:rPr>
          <w:rStyle w:val="white-space-pre"/>
          <w:rFonts w:ascii="Segoe UI" w:eastAsiaTheme="majorEastAsia" w:hAnsi="Segoe UI" w:cs="Segoe UI"/>
          <w:bdr w:val="none" w:sz="0" w:space="0" w:color="auto" w:frame="1"/>
        </w:rPr>
        <w:t xml:space="preserve"> </w:t>
      </w:r>
      <w:r>
        <w:rPr>
          <w:rFonts w:ascii="Segoe UI" w:hAnsi="Segoe UI" w:cs="Segoe UI"/>
        </w:rPr>
        <w:t>El concepto comunitario de</w:t>
      </w:r>
      <w:r>
        <w:rPr>
          <w:rStyle w:val="white-space-pre"/>
          <w:rFonts w:ascii="Segoe UI" w:eastAsiaTheme="majorEastAsia" w:hAnsi="Segoe UI" w:cs="Segoe UI"/>
          <w:bdr w:val="none" w:sz="0" w:space="0" w:color="auto" w:frame="1"/>
        </w:rPr>
        <w:t xml:space="preserve"> </w:t>
      </w:r>
      <w:r>
        <w:rPr>
          <w:rStyle w:val="nfasis"/>
          <w:rFonts w:ascii="Segoe UI" w:eastAsiaTheme="majorEastAsia" w:hAnsi="Segoe UI" w:cs="Segoe UI"/>
          <w:bdr w:val="none" w:sz="0" w:space="0" w:color="auto" w:frame="1"/>
        </w:rPr>
        <w:t>“lazos de subordinación”</w:t>
      </w:r>
      <w:r>
        <w:rPr>
          <w:rStyle w:val="white-space-pre"/>
          <w:rFonts w:ascii="Segoe UI" w:eastAsiaTheme="majorEastAsia" w:hAnsi="Segoe UI" w:cs="Segoe UI"/>
          <w:bdr w:val="none" w:sz="0" w:space="0" w:color="auto" w:frame="1"/>
        </w:rPr>
        <w:t xml:space="preserve"> </w:t>
      </w:r>
      <w:r>
        <w:rPr>
          <w:rFonts w:ascii="Segoe UI" w:hAnsi="Segoe UI" w:cs="Segoe UI"/>
        </w:rPr>
        <w:t>no se limita exclusivamente a los supuestos en los que existe una relación laboral.</w:t>
      </w:r>
    </w:p>
    <w:p w14:paraId="1659D018" w14:textId="77777777" w:rsidR="005A6646" w:rsidRDefault="005A6646" w:rsidP="005A6646">
      <w:pPr>
        <w:pStyle w:val="ember-view"/>
        <w:spacing w:before="0" w:beforeAutospacing="0" w:after="0" w:afterAutospacing="0"/>
        <w:textAlignment w:val="baseline"/>
        <w:rPr>
          <w:rFonts w:ascii="Segoe UI" w:hAnsi="Segoe UI" w:cs="Segoe UI"/>
        </w:rPr>
      </w:pPr>
      <w:proofErr w:type="gramStart"/>
      <w:r>
        <w:rPr>
          <w:rStyle w:val="nfasis"/>
          <w:rFonts w:ascii="Segoe UI" w:eastAsiaTheme="majorEastAsia" w:hAnsi="Segoe UI" w:cs="Segoe UI"/>
          <w:bdr w:val="none" w:sz="0" w:space="0" w:color="auto" w:frame="1"/>
        </w:rPr>
        <w:t>Décima.-</w:t>
      </w:r>
      <w:proofErr w:type="gramEnd"/>
      <w:r>
        <w:rPr>
          <w:rStyle w:val="white-space-pre"/>
          <w:rFonts w:ascii="Segoe UI" w:eastAsiaTheme="majorEastAsia" w:hAnsi="Segoe UI" w:cs="Segoe UI"/>
          <w:bdr w:val="none" w:sz="0" w:space="0" w:color="auto" w:frame="1"/>
        </w:rPr>
        <w:t xml:space="preserve"> </w:t>
      </w:r>
      <w:r>
        <w:rPr>
          <w:rFonts w:ascii="Segoe UI" w:hAnsi="Segoe UI" w:cs="Segoe UI"/>
        </w:rPr>
        <w:t>En consecuencia, a pesar de que no concurran las notas de ajenidad y dependencia, hay que analizar si existen lazos de subordinación que permitan concluir que la actividad económica no se realiza con carácter independiente.</w:t>
      </w:r>
    </w:p>
    <w:p w14:paraId="0E90E4F7" w14:textId="77777777" w:rsidR="005A6646" w:rsidRDefault="005A6646" w:rsidP="005A6646">
      <w:pPr>
        <w:pStyle w:val="ember-view"/>
        <w:spacing w:before="0" w:beforeAutospacing="0" w:after="0" w:afterAutospacing="0"/>
        <w:textAlignment w:val="baseline"/>
        <w:rPr>
          <w:rFonts w:ascii="Segoe UI" w:hAnsi="Segoe UI" w:cs="Segoe UI"/>
        </w:rPr>
      </w:pPr>
      <w:proofErr w:type="gramStart"/>
      <w:r>
        <w:rPr>
          <w:rStyle w:val="nfasis"/>
          <w:rFonts w:ascii="Segoe UI" w:eastAsiaTheme="majorEastAsia" w:hAnsi="Segoe UI" w:cs="Segoe UI"/>
          <w:bdr w:val="none" w:sz="0" w:space="0" w:color="auto" w:frame="1"/>
        </w:rPr>
        <w:lastRenderedPageBreak/>
        <w:t>Undécima.-</w:t>
      </w:r>
      <w:proofErr w:type="gramEnd"/>
      <w:r>
        <w:rPr>
          <w:rStyle w:val="white-space-pre"/>
          <w:rFonts w:ascii="Segoe UI" w:eastAsiaTheme="majorEastAsia" w:hAnsi="Segoe UI" w:cs="Segoe UI"/>
          <w:bdr w:val="none" w:sz="0" w:space="0" w:color="auto" w:frame="1"/>
        </w:rPr>
        <w:t xml:space="preserve"> </w:t>
      </w:r>
      <w:r>
        <w:rPr>
          <w:rFonts w:ascii="Segoe UI" w:hAnsi="Segoe UI" w:cs="Segoe UI"/>
        </w:rPr>
        <w:t>Los indicios que permiten concluir si existen lazos de subordinación son, en términos comunitarios, las condiciones de trabajo, la remuneración y la responsabilidad. De estos tres, el relativo a las condiciones retributivas del socio es determinante.</w:t>
      </w:r>
    </w:p>
    <w:p w14:paraId="67AC8CB4" w14:textId="77777777" w:rsidR="005A6646" w:rsidRDefault="005A6646" w:rsidP="005A6646">
      <w:pPr>
        <w:pStyle w:val="ember-view"/>
        <w:spacing w:before="0" w:beforeAutospacing="0" w:after="0" w:afterAutospacing="0"/>
        <w:textAlignment w:val="baseline"/>
        <w:rPr>
          <w:rFonts w:ascii="Segoe UI" w:hAnsi="Segoe UI" w:cs="Segoe UI"/>
        </w:rPr>
      </w:pPr>
      <w:proofErr w:type="gramStart"/>
      <w:r>
        <w:rPr>
          <w:rStyle w:val="nfasis"/>
          <w:rFonts w:ascii="Segoe UI" w:eastAsiaTheme="majorEastAsia" w:hAnsi="Segoe UI" w:cs="Segoe UI"/>
          <w:bdr w:val="none" w:sz="0" w:space="0" w:color="auto" w:frame="1"/>
        </w:rPr>
        <w:t>Duodécima.-</w:t>
      </w:r>
      <w:proofErr w:type="gramEnd"/>
      <w:r>
        <w:rPr>
          <w:rStyle w:val="white-space-pre"/>
          <w:rFonts w:ascii="Segoe UI" w:eastAsiaTheme="majorEastAsia" w:hAnsi="Segoe UI" w:cs="Segoe UI"/>
          <w:bdr w:val="none" w:sz="0" w:space="0" w:color="auto" w:frame="1"/>
        </w:rPr>
        <w:t xml:space="preserve"> </w:t>
      </w:r>
      <w:r>
        <w:rPr>
          <w:rFonts w:ascii="Segoe UI" w:hAnsi="Segoe UI" w:cs="Segoe UI"/>
        </w:rPr>
        <w:t>En cualquier caso, es necesario analizar caso por caso.</w:t>
      </w:r>
    </w:p>
    <w:p w14:paraId="619EBF56" w14:textId="77777777" w:rsidR="005A6646" w:rsidRDefault="005A6646" w:rsidP="005A6646">
      <w:pPr>
        <w:pStyle w:val="ember-view"/>
        <w:spacing w:before="0" w:beforeAutospacing="0" w:after="0" w:afterAutospacing="0"/>
        <w:textAlignment w:val="baseline"/>
        <w:rPr>
          <w:rFonts w:ascii="Segoe UI" w:hAnsi="Segoe UI" w:cs="Segoe UI"/>
        </w:rPr>
      </w:pPr>
      <w:proofErr w:type="gramStart"/>
      <w:r>
        <w:rPr>
          <w:rStyle w:val="nfasis"/>
          <w:rFonts w:ascii="Segoe UI" w:eastAsiaTheme="majorEastAsia" w:hAnsi="Segoe UI" w:cs="Segoe UI"/>
          <w:bdr w:val="none" w:sz="0" w:space="0" w:color="auto" w:frame="1"/>
        </w:rPr>
        <w:t>Decimotercera.-</w:t>
      </w:r>
      <w:proofErr w:type="gramEnd"/>
      <w:r>
        <w:rPr>
          <w:rStyle w:val="white-space-pre"/>
          <w:rFonts w:ascii="Segoe UI" w:eastAsiaTheme="majorEastAsia" w:hAnsi="Segoe UI" w:cs="Segoe UI"/>
          <w:bdr w:val="none" w:sz="0" w:space="0" w:color="auto" w:frame="1"/>
        </w:rPr>
        <w:t xml:space="preserve"> </w:t>
      </w:r>
      <w:r>
        <w:rPr>
          <w:rFonts w:ascii="Segoe UI" w:hAnsi="Segoe UI" w:cs="Segoe UI"/>
        </w:rPr>
        <w:t>En términos comunitarios, la capacitación profesional no es un elemento determinante que permita concluir la inexistencia de lazos de subordinación.</w:t>
      </w:r>
    </w:p>
    <w:p w14:paraId="221F404D" w14:textId="77777777" w:rsidR="005A6646" w:rsidRDefault="005A6646" w:rsidP="005A6646">
      <w:pPr>
        <w:pStyle w:val="ember-view"/>
        <w:spacing w:before="0" w:beforeAutospacing="0" w:after="0" w:afterAutospacing="0"/>
        <w:textAlignment w:val="baseline"/>
        <w:rPr>
          <w:rFonts w:ascii="Segoe UI" w:hAnsi="Segoe UI" w:cs="Segoe UI"/>
        </w:rPr>
      </w:pPr>
      <w:proofErr w:type="gramStart"/>
      <w:r>
        <w:rPr>
          <w:rStyle w:val="nfasis"/>
          <w:rFonts w:ascii="Segoe UI" w:eastAsiaTheme="majorEastAsia" w:hAnsi="Segoe UI" w:cs="Segoe UI"/>
          <w:bdr w:val="none" w:sz="0" w:space="0" w:color="auto" w:frame="1"/>
        </w:rPr>
        <w:t>Decimocuarta.-</w:t>
      </w:r>
      <w:proofErr w:type="gramEnd"/>
      <w:r>
        <w:rPr>
          <w:rStyle w:val="white-space-pre"/>
          <w:rFonts w:ascii="Segoe UI" w:eastAsiaTheme="majorEastAsia" w:hAnsi="Segoe UI" w:cs="Segoe UI"/>
          <w:bdr w:val="none" w:sz="0" w:space="0" w:color="auto" w:frame="1"/>
        </w:rPr>
        <w:t xml:space="preserve"> </w:t>
      </w:r>
      <w:r>
        <w:rPr>
          <w:rFonts w:ascii="Segoe UI" w:hAnsi="Segoe UI" w:cs="Segoe UI"/>
        </w:rPr>
        <w:t>En consecuencia, el concepto de</w:t>
      </w:r>
      <w:r>
        <w:rPr>
          <w:rStyle w:val="white-space-pre"/>
          <w:rFonts w:ascii="Segoe UI" w:eastAsiaTheme="majorEastAsia" w:hAnsi="Segoe UI" w:cs="Segoe UI"/>
          <w:bdr w:val="none" w:sz="0" w:space="0" w:color="auto" w:frame="1"/>
        </w:rPr>
        <w:t xml:space="preserve"> </w:t>
      </w:r>
      <w:r>
        <w:rPr>
          <w:rStyle w:val="nfasis"/>
          <w:rFonts w:ascii="Segoe UI" w:eastAsiaTheme="majorEastAsia" w:hAnsi="Segoe UI" w:cs="Segoe UI"/>
          <w:bdr w:val="none" w:sz="0" w:space="0" w:color="auto" w:frame="1"/>
        </w:rPr>
        <w:t>“medios de producción”</w:t>
      </w:r>
      <w:r>
        <w:rPr>
          <w:rStyle w:val="white-space-pre"/>
          <w:rFonts w:ascii="Segoe UI" w:eastAsiaTheme="majorEastAsia" w:hAnsi="Segoe UI" w:cs="Segoe UI"/>
          <w:bdr w:val="none" w:sz="0" w:space="0" w:color="auto" w:frame="1"/>
        </w:rPr>
        <w:t xml:space="preserve"> </w:t>
      </w:r>
      <w:r>
        <w:rPr>
          <w:rFonts w:ascii="Segoe UI" w:hAnsi="Segoe UI" w:cs="Segoe UI"/>
        </w:rPr>
        <w:t>se ha de considerar en términos comunitarios sinónimo al de</w:t>
      </w:r>
      <w:r>
        <w:rPr>
          <w:rStyle w:val="white-space-pre"/>
          <w:rFonts w:ascii="Segoe UI" w:eastAsiaTheme="majorEastAsia" w:hAnsi="Segoe UI" w:cs="Segoe UI"/>
          <w:bdr w:val="none" w:sz="0" w:space="0" w:color="auto" w:frame="1"/>
        </w:rPr>
        <w:t xml:space="preserve"> </w:t>
      </w:r>
      <w:r>
        <w:rPr>
          <w:rStyle w:val="nfasis"/>
          <w:rFonts w:ascii="Segoe UI" w:eastAsiaTheme="majorEastAsia" w:hAnsi="Segoe UI" w:cs="Segoe UI"/>
          <w:bdr w:val="none" w:sz="0" w:space="0" w:color="auto" w:frame="1"/>
        </w:rPr>
        <w:t>“activos principales”</w:t>
      </w:r>
      <w:r>
        <w:rPr>
          <w:rStyle w:val="white-space-pre"/>
          <w:rFonts w:ascii="Segoe UI" w:eastAsiaTheme="majorEastAsia" w:hAnsi="Segoe UI" w:cs="Segoe UI"/>
          <w:bdr w:val="none" w:sz="0" w:space="0" w:color="auto" w:frame="1"/>
        </w:rPr>
        <w:t xml:space="preserve"> </w:t>
      </w:r>
      <w:r>
        <w:rPr>
          <w:rFonts w:ascii="Segoe UI" w:hAnsi="Segoe UI" w:cs="Segoe UI"/>
        </w:rPr>
        <w:t>si bien es cierto que literalmente interpretado aquel incluye los factores de producción</w:t>
      </w:r>
      <w:r>
        <w:rPr>
          <w:rStyle w:val="white-space-pre"/>
          <w:rFonts w:ascii="Segoe UI" w:eastAsiaTheme="majorEastAsia" w:hAnsi="Segoe UI" w:cs="Segoe UI"/>
          <w:bdr w:val="none" w:sz="0" w:space="0" w:color="auto" w:frame="1"/>
        </w:rPr>
        <w:t xml:space="preserve"> </w:t>
      </w:r>
      <w:r>
        <w:rPr>
          <w:rStyle w:val="nfasis"/>
          <w:rFonts w:ascii="Segoe UI" w:eastAsiaTheme="majorEastAsia" w:hAnsi="Segoe UI" w:cs="Segoe UI"/>
          <w:bdr w:val="none" w:sz="0" w:space="0" w:color="auto" w:frame="1"/>
        </w:rPr>
        <w:t>“materiales y humanos”</w:t>
      </w:r>
      <w:r>
        <w:rPr>
          <w:rStyle w:val="white-space-pre"/>
          <w:rFonts w:ascii="Segoe UI" w:eastAsiaTheme="majorEastAsia" w:hAnsi="Segoe UI" w:cs="Segoe UI"/>
          <w:bdr w:val="none" w:sz="0" w:space="0" w:color="auto" w:frame="1"/>
        </w:rPr>
        <w:t xml:space="preserve"> </w:t>
      </w:r>
      <w:r>
        <w:rPr>
          <w:rFonts w:ascii="Segoe UI" w:hAnsi="Segoe UI" w:cs="Segoe UI"/>
        </w:rPr>
        <w:t>y este último tan solo los</w:t>
      </w:r>
      <w:r>
        <w:rPr>
          <w:rStyle w:val="white-space-pre"/>
          <w:rFonts w:ascii="Segoe UI" w:eastAsiaTheme="majorEastAsia" w:hAnsi="Segoe UI" w:cs="Segoe UI"/>
          <w:bdr w:val="none" w:sz="0" w:space="0" w:color="auto" w:frame="1"/>
        </w:rPr>
        <w:t xml:space="preserve"> </w:t>
      </w:r>
      <w:r>
        <w:rPr>
          <w:rStyle w:val="nfasis"/>
          <w:rFonts w:ascii="Segoe UI" w:eastAsiaTheme="majorEastAsia" w:hAnsi="Segoe UI" w:cs="Segoe UI"/>
          <w:bdr w:val="none" w:sz="0" w:space="0" w:color="auto" w:frame="1"/>
        </w:rPr>
        <w:t>“materiales”.</w:t>
      </w:r>
      <w:r>
        <w:rPr>
          <w:rStyle w:val="white-space-pre"/>
          <w:rFonts w:ascii="Segoe UI" w:eastAsiaTheme="majorEastAsia" w:hAnsi="Segoe UI" w:cs="Segoe UI"/>
          <w:bdr w:val="none" w:sz="0" w:space="0" w:color="auto" w:frame="1"/>
        </w:rPr>
        <w:t xml:space="preserve"> </w:t>
      </w:r>
      <w:r>
        <w:rPr>
          <w:rFonts w:ascii="Segoe UI" w:hAnsi="Segoe UI" w:cs="Segoe UI"/>
        </w:rPr>
        <w:t>En cualquier caso, la capacitación profesional del socio profesional no se puede considerar incluida en ninguno de ambos conceptos ya que, por su naturaleza, esta es innata a la persona y, como tal, intransferible.</w:t>
      </w:r>
    </w:p>
    <w:p w14:paraId="23F29FB1" w14:textId="77777777" w:rsidR="005A6646" w:rsidRDefault="005A6646" w:rsidP="005A6646">
      <w:pPr>
        <w:pStyle w:val="ember-view"/>
        <w:spacing w:before="0" w:beforeAutospacing="0" w:after="0" w:afterAutospacing="0"/>
        <w:textAlignment w:val="baseline"/>
        <w:rPr>
          <w:rFonts w:ascii="Segoe UI" w:hAnsi="Segoe UI" w:cs="Segoe UI"/>
        </w:rPr>
      </w:pPr>
      <w:proofErr w:type="gramStart"/>
      <w:r>
        <w:rPr>
          <w:rStyle w:val="nfasis"/>
          <w:rFonts w:ascii="Segoe UI" w:eastAsiaTheme="majorEastAsia" w:hAnsi="Segoe UI" w:cs="Segoe UI"/>
          <w:bdr w:val="none" w:sz="0" w:space="0" w:color="auto" w:frame="1"/>
        </w:rPr>
        <w:t>Decimoquinta.-</w:t>
      </w:r>
      <w:proofErr w:type="gramEnd"/>
      <w:r>
        <w:rPr>
          <w:rStyle w:val="white-space-pre"/>
          <w:rFonts w:ascii="Segoe UI" w:eastAsiaTheme="majorEastAsia" w:hAnsi="Segoe UI" w:cs="Segoe UI"/>
          <w:bdr w:val="none" w:sz="0" w:space="0" w:color="auto" w:frame="1"/>
        </w:rPr>
        <w:t xml:space="preserve"> </w:t>
      </w:r>
      <w:r>
        <w:rPr>
          <w:rFonts w:ascii="Segoe UI" w:hAnsi="Segoe UI" w:cs="Segoe UI"/>
        </w:rPr>
        <w:t>Sería deseable que en aras a la seguridad jurídica la DGT, en posteriores resoluciones, clarifique y concrete las expresiones</w:t>
      </w:r>
      <w:r>
        <w:rPr>
          <w:rStyle w:val="white-space-pre"/>
          <w:rFonts w:ascii="Segoe UI" w:eastAsiaTheme="majorEastAsia" w:hAnsi="Segoe UI" w:cs="Segoe UI"/>
          <w:bdr w:val="none" w:sz="0" w:space="0" w:color="auto" w:frame="1"/>
        </w:rPr>
        <w:t xml:space="preserve"> </w:t>
      </w:r>
      <w:r>
        <w:rPr>
          <w:rStyle w:val="nfasis"/>
          <w:rFonts w:ascii="Segoe UI" w:eastAsiaTheme="majorEastAsia" w:hAnsi="Segoe UI" w:cs="Segoe UI"/>
          <w:bdr w:val="none" w:sz="0" w:space="0" w:color="auto" w:frame="1"/>
        </w:rPr>
        <w:t>“activos principales”</w:t>
      </w:r>
      <w:r>
        <w:rPr>
          <w:rStyle w:val="white-space-pre"/>
          <w:rFonts w:ascii="Segoe UI" w:eastAsiaTheme="majorEastAsia" w:hAnsi="Segoe UI" w:cs="Segoe UI"/>
          <w:bdr w:val="none" w:sz="0" w:space="0" w:color="auto" w:frame="1"/>
        </w:rPr>
        <w:t xml:space="preserve"> </w:t>
      </w:r>
      <w:r>
        <w:rPr>
          <w:rFonts w:ascii="Segoe UI" w:hAnsi="Segoe UI" w:cs="Segoe UI"/>
        </w:rPr>
        <w:t>y</w:t>
      </w:r>
      <w:r>
        <w:rPr>
          <w:rStyle w:val="white-space-pre"/>
          <w:rFonts w:ascii="Segoe UI" w:eastAsiaTheme="majorEastAsia" w:hAnsi="Segoe UI" w:cs="Segoe UI"/>
          <w:bdr w:val="none" w:sz="0" w:space="0" w:color="auto" w:frame="1"/>
        </w:rPr>
        <w:t xml:space="preserve"> </w:t>
      </w:r>
      <w:r>
        <w:rPr>
          <w:rStyle w:val="nfasis"/>
          <w:rFonts w:ascii="Segoe UI" w:eastAsiaTheme="majorEastAsia" w:hAnsi="Segoe UI" w:cs="Segoe UI"/>
          <w:bdr w:val="none" w:sz="0" w:space="0" w:color="auto" w:frame="1"/>
        </w:rPr>
        <w:t>“medios de producción”</w:t>
      </w:r>
      <w:r>
        <w:rPr>
          <w:rStyle w:val="white-space-pre"/>
          <w:rFonts w:ascii="Segoe UI" w:eastAsiaTheme="majorEastAsia" w:hAnsi="Segoe UI" w:cs="Segoe UI"/>
          <w:bdr w:val="none" w:sz="0" w:space="0" w:color="auto" w:frame="1"/>
        </w:rPr>
        <w:t xml:space="preserve"> </w:t>
      </w:r>
      <w:r>
        <w:rPr>
          <w:rFonts w:ascii="Segoe UI" w:hAnsi="Segoe UI" w:cs="Segoe UI"/>
        </w:rPr>
        <w:t>disipando toda duda sobre la</w:t>
      </w:r>
      <w:r>
        <w:rPr>
          <w:rStyle w:val="white-space-pre"/>
          <w:rFonts w:ascii="Segoe UI" w:eastAsiaTheme="majorEastAsia" w:hAnsi="Segoe UI" w:cs="Segoe UI"/>
          <w:bdr w:val="none" w:sz="0" w:space="0" w:color="auto" w:frame="1"/>
        </w:rPr>
        <w:t xml:space="preserve"> </w:t>
      </w:r>
      <w:r>
        <w:rPr>
          <w:rStyle w:val="nfasis"/>
          <w:rFonts w:ascii="Segoe UI" w:eastAsiaTheme="majorEastAsia" w:hAnsi="Segoe UI" w:cs="Segoe UI"/>
          <w:bdr w:val="none" w:sz="0" w:space="0" w:color="auto" w:frame="1"/>
        </w:rPr>
        <w:t>“capacitación profesional”</w:t>
      </w:r>
      <w:r>
        <w:rPr>
          <w:rStyle w:val="white-space-pre"/>
          <w:rFonts w:ascii="Segoe UI" w:eastAsiaTheme="majorEastAsia" w:hAnsi="Segoe UI" w:cs="Segoe UI"/>
          <w:bdr w:val="none" w:sz="0" w:space="0" w:color="auto" w:frame="1"/>
        </w:rPr>
        <w:t xml:space="preserve"> </w:t>
      </w:r>
      <w:r>
        <w:rPr>
          <w:rFonts w:ascii="Segoe UI" w:hAnsi="Segoe UI" w:cs="Segoe UI"/>
        </w:rPr>
        <w:t>y sobre el alcance de la expresión</w:t>
      </w:r>
      <w:r>
        <w:rPr>
          <w:rStyle w:val="white-space-pre"/>
          <w:rFonts w:ascii="Segoe UI" w:eastAsiaTheme="majorEastAsia" w:hAnsi="Segoe UI" w:cs="Segoe UI"/>
          <w:bdr w:val="none" w:sz="0" w:space="0" w:color="auto" w:frame="1"/>
        </w:rPr>
        <w:t xml:space="preserve"> </w:t>
      </w:r>
      <w:r>
        <w:rPr>
          <w:rStyle w:val="nfasis"/>
          <w:rFonts w:ascii="Segoe UI" w:eastAsiaTheme="majorEastAsia" w:hAnsi="Segoe UI" w:cs="Segoe UI"/>
          <w:bdr w:val="none" w:sz="0" w:space="0" w:color="auto" w:frame="1"/>
        </w:rPr>
        <w:t>“en la medida en que no concurra un elemento fundamental cual es la ordenación de medios propios”</w:t>
      </w:r>
      <w:r>
        <w:rPr>
          <w:rStyle w:val="white-space-pre"/>
          <w:rFonts w:ascii="Segoe UI" w:eastAsiaTheme="majorEastAsia" w:hAnsi="Segoe UI" w:cs="Segoe UI"/>
          <w:bdr w:val="none" w:sz="0" w:space="0" w:color="auto" w:frame="1"/>
        </w:rPr>
        <w:t xml:space="preserve"> </w:t>
      </w:r>
      <w:r>
        <w:rPr>
          <w:rFonts w:ascii="Segoe UI" w:hAnsi="Segoe UI" w:cs="Segoe UI"/>
        </w:rPr>
        <w:t>y que en ocasiones se omite a pesar de referirse a idéntica situación.</w:t>
      </w:r>
    </w:p>
    <w:p w14:paraId="2DE51B59" w14:textId="77777777" w:rsidR="005A6646" w:rsidRDefault="005A6646" w:rsidP="005A6646">
      <w:pPr>
        <w:pStyle w:val="ember-view"/>
        <w:spacing w:before="0" w:beforeAutospacing="0" w:after="0" w:afterAutospacing="0"/>
        <w:textAlignment w:val="baseline"/>
        <w:rPr>
          <w:rFonts w:ascii="Segoe UI" w:hAnsi="Segoe UI" w:cs="Segoe UI"/>
        </w:rPr>
      </w:pPr>
      <w:r>
        <w:rPr>
          <w:rFonts w:ascii="Segoe UI" w:hAnsi="Segoe UI" w:cs="Segoe UI"/>
        </w:rPr>
        <w:t>Por terminar es necesario que todos los profesionales confíen en los profesionales expertos como somos los peritos judiciales expertos en la materia.</w:t>
      </w:r>
      <w:r>
        <w:rPr>
          <w:rStyle w:val="white-space-pre"/>
          <w:rFonts w:ascii="Segoe UI" w:eastAsiaTheme="majorEastAsia" w:hAnsi="Segoe UI" w:cs="Segoe UI"/>
          <w:bdr w:val="none" w:sz="0" w:space="0" w:color="auto" w:frame="1"/>
        </w:rPr>
        <w:t xml:space="preserve"> </w:t>
      </w:r>
    </w:p>
    <w:p w14:paraId="4956FB33" w14:textId="77777777" w:rsidR="005A6646" w:rsidRDefault="005A6646" w:rsidP="005A6646">
      <w:pPr>
        <w:pStyle w:val="ember-view"/>
        <w:spacing w:before="0" w:beforeAutospacing="0" w:after="0" w:afterAutospacing="0"/>
        <w:textAlignment w:val="baseline"/>
        <w:rPr>
          <w:rFonts w:ascii="Segoe UI" w:hAnsi="Segoe UI" w:cs="Segoe UI"/>
        </w:rPr>
      </w:pPr>
      <w:r>
        <w:rPr>
          <w:rStyle w:val="white-space-pre"/>
          <w:rFonts w:ascii="Segoe UI" w:eastAsiaTheme="majorEastAsia" w:hAnsi="Segoe UI" w:cs="Segoe UI"/>
          <w:bdr w:val="none" w:sz="0" w:space="0" w:color="auto" w:frame="1"/>
        </w:rPr>
        <w:t xml:space="preserve"> </w:t>
      </w:r>
    </w:p>
    <w:p w14:paraId="4BB9733D" w14:textId="69C5093D" w:rsidR="00616ED7" w:rsidRDefault="00794A8E" w:rsidP="00616ED7">
      <w:pPr>
        <w:spacing w:beforeAutospacing="1" w:after="0" w:afterAutospacing="1" w:line="240" w:lineRule="auto"/>
        <w:textAlignment w:val="baseline"/>
        <w:outlineLvl w:val="0"/>
        <w:rPr>
          <w:rFonts w:ascii="Arial" w:eastAsia="Times New Roman" w:hAnsi="Arial" w:cs="Arial"/>
          <w:kern w:val="36"/>
          <w:sz w:val="24"/>
          <w:szCs w:val="24"/>
          <w:lang w:eastAsia="es-ES"/>
          <w14:ligatures w14:val="none"/>
        </w:rPr>
      </w:pPr>
      <w:r>
        <w:rPr>
          <w:rFonts w:ascii="Arial" w:eastAsia="Times New Roman" w:hAnsi="Arial" w:cs="Arial"/>
          <w:kern w:val="36"/>
          <w:sz w:val="24"/>
          <w:szCs w:val="24"/>
          <w:lang w:eastAsia="es-ES"/>
          <w14:ligatures w14:val="none"/>
        </w:rPr>
        <w:t xml:space="preserve">José Miguel Romeo Catalán </w:t>
      </w:r>
    </w:p>
    <w:p w14:paraId="74F9906A" w14:textId="03669465" w:rsidR="00794A8E" w:rsidRDefault="00794A8E" w:rsidP="00616ED7">
      <w:pPr>
        <w:spacing w:beforeAutospacing="1" w:after="0" w:afterAutospacing="1" w:line="240" w:lineRule="auto"/>
        <w:textAlignment w:val="baseline"/>
        <w:outlineLvl w:val="0"/>
        <w:rPr>
          <w:rFonts w:ascii="Arial" w:eastAsia="Times New Roman" w:hAnsi="Arial" w:cs="Arial"/>
          <w:kern w:val="36"/>
          <w:sz w:val="24"/>
          <w:szCs w:val="24"/>
          <w:lang w:eastAsia="es-ES"/>
          <w14:ligatures w14:val="none"/>
        </w:rPr>
      </w:pPr>
      <w:r>
        <w:rPr>
          <w:rFonts w:ascii="Arial" w:eastAsia="Times New Roman" w:hAnsi="Arial" w:cs="Arial"/>
          <w:kern w:val="36"/>
          <w:sz w:val="24"/>
          <w:szCs w:val="24"/>
          <w:lang w:eastAsia="es-ES"/>
          <w14:ligatures w14:val="none"/>
        </w:rPr>
        <w:t>Perito Judicial en Derecho Empresarial</w:t>
      </w:r>
    </w:p>
    <w:p w14:paraId="40FE61C6" w14:textId="26D32DFC" w:rsidR="00FC5839" w:rsidRPr="00616ED7" w:rsidRDefault="00FC5839" w:rsidP="00616ED7">
      <w:pPr>
        <w:spacing w:beforeAutospacing="1" w:after="0" w:afterAutospacing="1" w:line="240" w:lineRule="auto"/>
        <w:textAlignment w:val="baseline"/>
        <w:outlineLvl w:val="0"/>
        <w:rPr>
          <w:rFonts w:ascii="Arial" w:eastAsia="Times New Roman" w:hAnsi="Arial" w:cs="Arial"/>
          <w:kern w:val="36"/>
          <w:sz w:val="24"/>
          <w:szCs w:val="24"/>
          <w:lang w:eastAsia="es-ES"/>
          <w14:ligatures w14:val="none"/>
        </w:rPr>
      </w:pPr>
      <w:r>
        <w:rPr>
          <w:rFonts w:ascii="Arial" w:eastAsia="Times New Roman" w:hAnsi="Arial" w:cs="Arial"/>
          <w:kern w:val="36"/>
          <w:sz w:val="24"/>
          <w:szCs w:val="24"/>
          <w:lang w:eastAsia="es-ES"/>
          <w14:ligatures w14:val="none"/>
        </w:rPr>
        <w:t>Experto en Laboral, Fiscal, Seguridad Social y Administrador Concursal Experto Independiente.</w:t>
      </w:r>
    </w:p>
    <w:p w14:paraId="20152586" w14:textId="3E6EEC8A" w:rsidR="006102EB" w:rsidRPr="002015D0" w:rsidRDefault="006102EB">
      <w:pPr>
        <w:rPr>
          <w:b/>
          <w:bCs/>
          <w:sz w:val="28"/>
          <w:szCs w:val="28"/>
        </w:rPr>
      </w:pPr>
    </w:p>
    <w:sectPr w:rsidR="006102EB" w:rsidRPr="002015D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B87"/>
    <w:rsid w:val="002015D0"/>
    <w:rsid w:val="004C3B87"/>
    <w:rsid w:val="005A6646"/>
    <w:rsid w:val="006102EB"/>
    <w:rsid w:val="00616ED7"/>
    <w:rsid w:val="00715403"/>
    <w:rsid w:val="00794A8E"/>
    <w:rsid w:val="007E0C99"/>
    <w:rsid w:val="008043F6"/>
    <w:rsid w:val="00D97CAA"/>
    <w:rsid w:val="00DF71E3"/>
    <w:rsid w:val="00EF75C4"/>
    <w:rsid w:val="00FC583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ADB96"/>
  <w15:chartTrackingRefBased/>
  <w15:docId w15:val="{B8848356-36AC-406F-9733-6E45363B1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C3B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C3B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C3B8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C3B8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C3B8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C3B8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C3B8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C3B8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C3B8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C3B8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C3B8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C3B8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C3B8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C3B8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C3B8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C3B8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C3B8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C3B87"/>
    <w:rPr>
      <w:rFonts w:eastAsiaTheme="majorEastAsia" w:cstheme="majorBidi"/>
      <w:color w:val="272727" w:themeColor="text1" w:themeTint="D8"/>
    </w:rPr>
  </w:style>
  <w:style w:type="paragraph" w:styleId="Ttulo">
    <w:name w:val="Title"/>
    <w:basedOn w:val="Normal"/>
    <w:next w:val="Normal"/>
    <w:link w:val="TtuloCar"/>
    <w:uiPriority w:val="10"/>
    <w:qFormat/>
    <w:rsid w:val="004C3B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C3B8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C3B8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C3B8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C3B87"/>
    <w:pPr>
      <w:spacing w:before="160"/>
      <w:jc w:val="center"/>
    </w:pPr>
    <w:rPr>
      <w:i/>
      <w:iCs/>
      <w:color w:val="404040" w:themeColor="text1" w:themeTint="BF"/>
    </w:rPr>
  </w:style>
  <w:style w:type="character" w:customStyle="1" w:styleId="CitaCar">
    <w:name w:val="Cita Car"/>
    <w:basedOn w:val="Fuentedeprrafopredeter"/>
    <w:link w:val="Cita"/>
    <w:uiPriority w:val="29"/>
    <w:rsid w:val="004C3B87"/>
    <w:rPr>
      <w:i/>
      <w:iCs/>
      <w:color w:val="404040" w:themeColor="text1" w:themeTint="BF"/>
    </w:rPr>
  </w:style>
  <w:style w:type="paragraph" w:styleId="Prrafodelista">
    <w:name w:val="List Paragraph"/>
    <w:basedOn w:val="Normal"/>
    <w:uiPriority w:val="34"/>
    <w:qFormat/>
    <w:rsid w:val="004C3B87"/>
    <w:pPr>
      <w:ind w:left="720"/>
      <w:contextualSpacing/>
    </w:pPr>
  </w:style>
  <w:style w:type="character" w:styleId="nfasisintenso">
    <w:name w:val="Intense Emphasis"/>
    <w:basedOn w:val="Fuentedeprrafopredeter"/>
    <w:uiPriority w:val="21"/>
    <w:qFormat/>
    <w:rsid w:val="004C3B87"/>
    <w:rPr>
      <w:i/>
      <w:iCs/>
      <w:color w:val="0F4761" w:themeColor="accent1" w:themeShade="BF"/>
    </w:rPr>
  </w:style>
  <w:style w:type="paragraph" w:styleId="Citadestacada">
    <w:name w:val="Intense Quote"/>
    <w:basedOn w:val="Normal"/>
    <w:next w:val="Normal"/>
    <w:link w:val="CitadestacadaCar"/>
    <w:uiPriority w:val="30"/>
    <w:qFormat/>
    <w:rsid w:val="004C3B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C3B87"/>
    <w:rPr>
      <w:i/>
      <w:iCs/>
      <w:color w:val="0F4761" w:themeColor="accent1" w:themeShade="BF"/>
    </w:rPr>
  </w:style>
  <w:style w:type="character" w:styleId="Referenciaintensa">
    <w:name w:val="Intense Reference"/>
    <w:basedOn w:val="Fuentedeprrafopredeter"/>
    <w:uiPriority w:val="32"/>
    <w:qFormat/>
    <w:rsid w:val="004C3B87"/>
    <w:rPr>
      <w:b/>
      <w:bCs/>
      <w:smallCaps/>
      <w:color w:val="0F4761" w:themeColor="accent1" w:themeShade="BF"/>
      <w:spacing w:val="5"/>
    </w:rPr>
  </w:style>
  <w:style w:type="paragraph" w:customStyle="1" w:styleId="ember-view">
    <w:name w:val="ember-view"/>
    <w:basedOn w:val="Normal"/>
    <w:rsid w:val="005A6646"/>
    <w:pPr>
      <w:spacing w:before="100" w:beforeAutospacing="1" w:after="100" w:afterAutospacing="1" w:line="240" w:lineRule="auto"/>
    </w:pPr>
    <w:rPr>
      <w:rFonts w:ascii="Times New Roman" w:eastAsia="Times New Roman" w:hAnsi="Times New Roman" w:cs="Times New Roman"/>
      <w:kern w:val="0"/>
      <w:sz w:val="24"/>
      <w:szCs w:val="24"/>
      <w:lang w:eastAsia="es-ES"/>
      <w14:ligatures w14:val="none"/>
    </w:rPr>
  </w:style>
  <w:style w:type="character" w:customStyle="1" w:styleId="white-space-pre">
    <w:name w:val="white-space-pre"/>
    <w:basedOn w:val="Fuentedeprrafopredeter"/>
    <w:rsid w:val="005A6646"/>
  </w:style>
  <w:style w:type="character" w:styleId="nfasis">
    <w:name w:val="Emphasis"/>
    <w:basedOn w:val="Fuentedeprrafopredeter"/>
    <w:uiPriority w:val="20"/>
    <w:qFormat/>
    <w:rsid w:val="005A664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5476718">
      <w:bodyDiv w:val="1"/>
      <w:marLeft w:val="0"/>
      <w:marRight w:val="0"/>
      <w:marTop w:val="0"/>
      <w:marBottom w:val="0"/>
      <w:divBdr>
        <w:top w:val="none" w:sz="0" w:space="0" w:color="auto"/>
        <w:left w:val="none" w:sz="0" w:space="0" w:color="auto"/>
        <w:bottom w:val="none" w:sz="0" w:space="0" w:color="auto"/>
        <w:right w:val="none" w:sz="0" w:space="0" w:color="auto"/>
      </w:divBdr>
    </w:div>
    <w:div w:id="1530338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4520</Words>
  <Characters>24861</Characters>
  <Application>Microsoft Office Word</Application>
  <DocSecurity>0</DocSecurity>
  <Lines>207</Lines>
  <Paragraphs>58</Paragraphs>
  <ScaleCrop>false</ScaleCrop>
  <Company/>
  <LinksUpToDate>false</LinksUpToDate>
  <CharactersWithSpaces>29323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MIGUEL ROMEO CATALAN</dc:creator>
  <cp:keywords/>
  <dc:description/>
  <cp:lastModifiedBy>JOSE MIGUEL ROMEO CATALAN</cp:lastModifiedBy>
  <cp:revision>2</cp:revision>
  <dcterms:created xsi:type="dcterms:W3CDTF">2025-05-05T06:01:00Z</dcterms:created>
  <dcterms:modified xsi:type="dcterms:W3CDTF">2025-05-05T06:01:00Z</dcterms:modified>
</cp:coreProperties>
</file>